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6912"/>
        <w:gridCol w:w="3686"/>
      </w:tblGrid>
      <w:tr w:rsidR="003545E0" w:rsidRPr="00F171F4" w14:paraId="072A097D" w14:textId="77777777" w:rsidTr="00415B3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4E5" w14:textId="26826DDB" w:rsidR="003545E0" w:rsidRPr="00415B30" w:rsidRDefault="003545E0" w:rsidP="00415B30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171F4">
              <w:rPr>
                <w:rFonts w:ascii="Times New Roman" w:hAnsi="Times New Roman"/>
                <w:sz w:val="32"/>
                <w:szCs w:val="32"/>
              </w:rPr>
              <w:br w:type="page"/>
            </w:r>
            <w:r w:rsidRPr="00F171F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Titre de l’activité</w:t>
            </w:r>
            <w:r w:rsidR="00415B30">
              <w:rPr>
                <w:rFonts w:ascii="Times New Roman" w:hAnsi="Times New Roman"/>
                <w:b/>
                <w:sz w:val="32"/>
                <w:szCs w:val="32"/>
              </w:rPr>
              <w:t xml:space="preserve"> : </w:t>
            </w:r>
            <w:r w:rsidR="00223D77">
              <w:rPr>
                <w:rFonts w:ascii="Times New Roman" w:hAnsi="Times New Roman"/>
                <w:b/>
                <w:sz w:val="32"/>
                <w:szCs w:val="32"/>
              </w:rPr>
              <w:t>Mexico, explication d’un exploit ?</w:t>
            </w:r>
          </w:p>
        </w:tc>
      </w:tr>
      <w:tr w:rsidR="00E20A1C" w:rsidRPr="00F171F4" w14:paraId="254697D4" w14:textId="77777777" w:rsidTr="00415B30">
        <w:trPr>
          <w:trHeight w:val="5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125" w14:textId="77777777" w:rsidR="003545E0" w:rsidRPr="00F171F4" w:rsidRDefault="003545E0" w:rsidP="009C5A41">
            <w:pPr>
              <w:spacing w:before="120"/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  <w:b/>
              </w:rPr>
              <w:t>Académie de CR</w:t>
            </w:r>
            <w:r w:rsidR="00E20A1C">
              <w:rPr>
                <w:rFonts w:ascii="Times New Roman" w:hAnsi="Times New Roman"/>
                <w:b/>
              </w:rPr>
              <w:t>É</w:t>
            </w:r>
            <w:r w:rsidRPr="00F171F4">
              <w:rPr>
                <w:rFonts w:ascii="Times New Roman" w:hAnsi="Times New Roman"/>
                <w:b/>
              </w:rPr>
              <w:t xml:space="preserve">TEIL </w:t>
            </w:r>
            <w:r w:rsidR="00A81891" w:rsidRPr="00F171F4">
              <w:rPr>
                <w:rFonts w:ascii="Times New Roman" w:hAnsi="Times New Roman"/>
                <w:b/>
              </w:rPr>
              <w:t>– GREID Physique-C</w:t>
            </w:r>
            <w:r w:rsidRPr="00F171F4">
              <w:rPr>
                <w:rFonts w:ascii="Times New Roman" w:hAnsi="Times New Roman"/>
                <w:b/>
              </w:rPr>
              <w:t xml:space="preserve">himie </w:t>
            </w:r>
            <w:r w:rsidR="00A81891" w:rsidRPr="00F171F4">
              <w:rPr>
                <w:rFonts w:ascii="Times New Roman" w:hAnsi="Times New Roman"/>
                <w:b/>
              </w:rPr>
              <w:t>–</w:t>
            </w:r>
            <w:r w:rsidRPr="00F171F4">
              <w:rPr>
                <w:rFonts w:ascii="Times New Roman" w:hAnsi="Times New Roman"/>
                <w:b/>
              </w:rPr>
              <w:t xml:space="preserve"> Groupe Collège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640" w14:textId="265F08D6" w:rsidR="003545E0" w:rsidRPr="00F171F4" w:rsidRDefault="003545E0" w:rsidP="009C5A41">
            <w:pPr>
              <w:spacing w:before="120"/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Date</w:t>
            </w:r>
            <w:r w:rsidRPr="00F171F4">
              <w:rPr>
                <w:rFonts w:ascii="Times New Roman" w:hAnsi="Times New Roman"/>
                <w:b/>
              </w:rPr>
              <w:t xml:space="preserve"> : </w:t>
            </w:r>
            <w:r w:rsidR="00E03B70" w:rsidRPr="00F171F4">
              <w:rPr>
                <w:rFonts w:ascii="Times New Roman" w:hAnsi="Times New Roman"/>
              </w:rPr>
              <w:t>septembre</w:t>
            </w:r>
            <w:r w:rsidRPr="00F171F4">
              <w:rPr>
                <w:rFonts w:ascii="Times New Roman" w:hAnsi="Times New Roman"/>
              </w:rPr>
              <w:t xml:space="preserve"> 201</w:t>
            </w:r>
            <w:r w:rsidR="00223D77">
              <w:rPr>
                <w:rFonts w:ascii="Times New Roman" w:hAnsi="Times New Roman"/>
              </w:rPr>
              <w:t>8</w:t>
            </w:r>
          </w:p>
        </w:tc>
      </w:tr>
      <w:tr w:rsidR="00E20A1C" w:rsidRPr="00F171F4" w14:paraId="655D616C" w14:textId="77777777" w:rsidTr="00415B30">
        <w:trPr>
          <w:trHeight w:val="18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ACC" w14:textId="77777777" w:rsidR="003545E0" w:rsidRPr="00F171F4" w:rsidRDefault="000B5C84" w:rsidP="00E65255">
            <w:pPr>
              <w:spacing w:before="12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Cycle 4</w:t>
            </w:r>
          </w:p>
          <w:p w14:paraId="227CDDBB" w14:textId="77777777" w:rsidR="003A1196" w:rsidRDefault="003A1196" w:rsidP="004E5D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 xml:space="preserve">En début d’apprentissage </w:t>
            </w:r>
          </w:p>
          <w:p w14:paraId="2B5300F3" w14:textId="77777777" w:rsidR="004E5DC6" w:rsidRPr="00F171F4" w:rsidRDefault="003545E0" w:rsidP="004E5D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>En poursuite d’apprentissage</w:t>
            </w:r>
          </w:p>
          <w:p w14:paraId="2A583A57" w14:textId="77777777" w:rsidR="003545E0" w:rsidRPr="00F171F4" w:rsidRDefault="003545E0" w:rsidP="004E5DC6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>En consolidation d’apprentissage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73" w14:textId="77777777" w:rsidR="00E65255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Type d’activité</w:t>
            </w:r>
          </w:p>
          <w:p w14:paraId="70E933B2" w14:textId="3E8DF064" w:rsidR="00E03B70" w:rsidRPr="00F171F4" w:rsidRDefault="00223D77" w:rsidP="00E6525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Module « </w:t>
            </w:r>
            <w:proofErr w:type="spellStart"/>
            <w:r>
              <w:rPr>
                <w:rFonts w:ascii="Times New Roman" w:hAnsi="Times New Roman"/>
              </w:rPr>
              <w:t>Tactiléo</w:t>
            </w:r>
            <w:proofErr w:type="spellEnd"/>
            <w:r>
              <w:rPr>
                <w:rFonts w:ascii="Times New Roman" w:hAnsi="Times New Roman"/>
              </w:rPr>
              <w:t> »</w:t>
            </w:r>
          </w:p>
          <w:p w14:paraId="3D711DBA" w14:textId="77777777" w:rsidR="003545E0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Durée</w:t>
            </w:r>
          </w:p>
          <w:p w14:paraId="378E3393" w14:textId="63A43DAD" w:rsidR="003545E0" w:rsidRPr="00F171F4" w:rsidRDefault="00223D77" w:rsidP="00E65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Variable – de </w:t>
            </w:r>
            <w:r w:rsidR="005B6D64">
              <w:rPr>
                <w:rFonts w:ascii="Times New Roman" w:hAnsi="Times New Roman"/>
              </w:rPr>
              <w:t>20 à 4</w:t>
            </w:r>
            <w:r>
              <w:rPr>
                <w:rFonts w:ascii="Times New Roman" w:hAnsi="Times New Roman"/>
              </w:rPr>
              <w:t>0 minutes</w:t>
            </w:r>
          </w:p>
        </w:tc>
      </w:tr>
      <w:tr w:rsidR="003545E0" w:rsidRPr="00F171F4" w14:paraId="6A8CF670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  <w:tcBorders>
              <w:top w:val="nil"/>
              <w:bottom w:val="single" w:sz="4" w:space="0" w:color="000000"/>
            </w:tcBorders>
          </w:tcPr>
          <w:p w14:paraId="4A6F4FF7" w14:textId="7777777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 xml:space="preserve">But de </w:t>
            </w:r>
            <w:r w:rsidRPr="00F171F4">
              <w:rPr>
                <w:rFonts w:ascii="Times New Roman" w:hAnsi="Times New Roman"/>
                <w:b/>
                <w:u w:val="single"/>
              </w:rPr>
              <w:t>l’activité</w:t>
            </w:r>
          </w:p>
          <w:p w14:paraId="08333AE2" w14:textId="098681A6" w:rsidR="006A7D1F" w:rsidRDefault="006A7D1F" w:rsidP="00415B3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 module « </w:t>
            </w:r>
            <w:proofErr w:type="spellStart"/>
            <w:r>
              <w:rPr>
                <w:rFonts w:ascii="Times New Roman" w:hAnsi="Times New Roman"/>
              </w:rPr>
              <w:t>Tactiléo</w:t>
            </w:r>
            <w:proofErr w:type="spellEnd"/>
            <w:r>
              <w:rPr>
                <w:rFonts w:ascii="Times New Roman" w:hAnsi="Times New Roman"/>
              </w:rPr>
              <w:t xml:space="preserve"> » </w:t>
            </w:r>
            <w:r w:rsidRPr="006A7D1F">
              <w:rPr>
                <w:rFonts w:ascii="Times New Roman" w:hAnsi="Times New Roman"/>
              </w:rPr>
              <w:t>permet de travailler la dém</w:t>
            </w:r>
            <w:r w:rsidR="00DF41A0">
              <w:rPr>
                <w:rFonts w:ascii="Times New Roman" w:hAnsi="Times New Roman"/>
              </w:rPr>
              <w:t>arche de résolution de problème :</w:t>
            </w:r>
            <w:r w:rsidR="00204F89">
              <w:rPr>
                <w:rFonts w:ascii="Times New Roman" w:hAnsi="Times New Roman"/>
              </w:rPr>
              <w:t xml:space="preserve"> il faudra, au cours d’une démarche « complète », </w:t>
            </w:r>
            <w:r w:rsidR="00DF41A0">
              <w:rPr>
                <w:rFonts w:ascii="Times New Roman" w:hAnsi="Times New Roman"/>
              </w:rPr>
              <w:t xml:space="preserve">remobiliser </w:t>
            </w:r>
            <w:r w:rsidR="00870787">
              <w:rPr>
                <w:rFonts w:ascii="Times New Roman" w:hAnsi="Times New Roman"/>
              </w:rPr>
              <w:t xml:space="preserve">la relation mathématique permettant de calculer </w:t>
            </w:r>
            <w:r w:rsidR="00311285">
              <w:rPr>
                <w:rFonts w:ascii="Times New Roman" w:hAnsi="Times New Roman"/>
              </w:rPr>
              <w:t>différentes valeurs de force de pesanteur.</w:t>
            </w:r>
          </w:p>
          <w:p w14:paraId="716A325B" w14:textId="6C4E056E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Partie du programme</w:t>
            </w:r>
          </w:p>
          <w:p w14:paraId="121ACCBD" w14:textId="77777777" w:rsidR="000B5C84" w:rsidRPr="00F171F4" w:rsidRDefault="00E03B70" w:rsidP="00415B30">
            <w:pPr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  <w:r w:rsidRPr="00F171F4">
              <w:rPr>
                <w:rFonts w:ascii="Times New Roman" w:hAnsi="Times New Roman"/>
                <w:lang w:eastAsia="ar-SA"/>
              </w:rPr>
              <w:t>Mouvement et interactions</w:t>
            </w:r>
          </w:p>
          <w:p w14:paraId="292D35EB" w14:textId="7777777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Attendus de fin de cycle</w:t>
            </w:r>
          </w:p>
          <w:p w14:paraId="6B40EE20" w14:textId="77777777" w:rsidR="00223D77" w:rsidRDefault="00223D77" w:rsidP="00415B30">
            <w:pPr>
              <w:spacing w:before="60" w:after="60"/>
              <w:rPr>
                <w:rFonts w:ascii="Times New Roman" w:hAnsi="Times New Roman"/>
              </w:rPr>
            </w:pPr>
            <w:r w:rsidRPr="00223D77">
              <w:rPr>
                <w:rFonts w:ascii="Times New Roman" w:hAnsi="Times New Roman"/>
              </w:rPr>
              <w:t>Modéliser une interaction par une force caractérisée par un point d’application, une direction, un sens et une valeur.</w:t>
            </w:r>
          </w:p>
          <w:p w14:paraId="5C32647D" w14:textId="5EBBF20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Prérequis</w:t>
            </w:r>
          </w:p>
          <w:p w14:paraId="6A8B2F69" w14:textId="3716C0E5" w:rsidR="003545E0" w:rsidRDefault="00223D77" w:rsidP="00415B30">
            <w:pPr>
              <w:pStyle w:val="Paragraphedeliste"/>
              <w:numPr>
                <w:ilvl w:val="0"/>
                <w:numId w:val="4"/>
              </w:numPr>
              <w:snapToGrid w:val="0"/>
              <w:spacing w:before="60" w:after="60"/>
              <w:rPr>
                <w:rFonts w:ascii="Times New Roman" w:hAnsi="Times New Roman"/>
              </w:rPr>
            </w:pPr>
            <w:r w:rsidRPr="00223D77">
              <w:rPr>
                <w:rFonts w:ascii="Times New Roman" w:hAnsi="Times New Roman"/>
              </w:rPr>
              <w:t>Force de p</w:t>
            </w:r>
            <w:r w:rsidR="0046030E">
              <w:rPr>
                <w:rFonts w:ascii="Times New Roman" w:hAnsi="Times New Roman"/>
              </w:rPr>
              <w:t>esanteur et son expression P=mg ; capacité à utiliser cette relation.</w:t>
            </w:r>
          </w:p>
          <w:p w14:paraId="617542B5" w14:textId="7BF2A58F" w:rsidR="006A7D1F" w:rsidRPr="00223D77" w:rsidRDefault="006A7D1F" w:rsidP="00415B30">
            <w:pPr>
              <w:pStyle w:val="Paragraphedeliste"/>
              <w:numPr>
                <w:ilvl w:val="0"/>
                <w:numId w:val="4"/>
              </w:numPr>
              <w:snapToGri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Capacité à mobiliser des outils numériques pour rechercher des informations manquantes.</w:t>
            </w:r>
          </w:p>
        </w:tc>
      </w:tr>
      <w:tr w:rsidR="003545E0" w:rsidRPr="00F171F4" w14:paraId="6D3B073E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  <w:tcBorders>
              <w:top w:val="nil"/>
              <w:bottom w:val="single" w:sz="4" w:space="0" w:color="000000"/>
            </w:tcBorders>
          </w:tcPr>
          <w:p w14:paraId="3CD71AFA" w14:textId="77777777" w:rsidR="003545E0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Co</w:t>
            </w:r>
            <w:r w:rsidR="000B5C84" w:rsidRPr="00F171F4">
              <w:rPr>
                <w:rFonts w:ascii="Times New Roman" w:hAnsi="Times New Roman"/>
                <w:b/>
                <w:u w:val="single"/>
              </w:rPr>
              <w:t>mpétences</w:t>
            </w:r>
            <w:r w:rsidR="000B5C84" w:rsidRPr="00F171F4">
              <w:rPr>
                <w:rFonts w:ascii="Times New Roman" w:hAnsi="Times New Roman"/>
                <w:b/>
                <w:color w:val="000000"/>
                <w:u w:val="single"/>
              </w:rPr>
              <w:t xml:space="preserve"> pouvant être évaluées</w:t>
            </w:r>
          </w:p>
          <w:p w14:paraId="28BC8B5E" w14:textId="75552F28" w:rsidR="003545E0" w:rsidRDefault="00415B30" w:rsidP="00415B30">
            <w:pPr>
              <w:rPr>
                <w:rFonts w:ascii="Times New Roman" w:hAnsi="Times New Roman"/>
                <w:color w:val="000000"/>
              </w:rPr>
            </w:pPr>
            <w:r w:rsidRPr="00415B30">
              <w:rPr>
                <w:rFonts w:ascii="Times New Roman" w:hAnsi="Times New Roman"/>
                <w:b/>
                <w:color w:val="000000"/>
              </w:rPr>
              <w:t>[1.3.Lan] </w:t>
            </w:r>
            <w:r w:rsidRPr="00415B30">
              <w:rPr>
                <w:rFonts w:ascii="Times New Roman" w:hAnsi="Times New Roman"/>
                <w:color w:val="000000"/>
              </w:rPr>
              <w:t>Passer d’une forme de langage scientifique à une autre (maîtrise</w:t>
            </w:r>
            <w:r w:rsidR="00311285">
              <w:rPr>
                <w:rFonts w:ascii="Times New Roman" w:hAnsi="Times New Roman"/>
                <w:color w:val="000000"/>
              </w:rPr>
              <w:t xml:space="preserve">r </w:t>
            </w:r>
            <w:r w:rsidRPr="00415B30">
              <w:rPr>
                <w:rFonts w:ascii="Times New Roman" w:hAnsi="Times New Roman"/>
                <w:color w:val="000000"/>
              </w:rPr>
              <w:t>l’outil mathématique).</w:t>
            </w:r>
          </w:p>
          <w:p w14:paraId="5FFEFFE6" w14:textId="515527B0" w:rsidR="0046030E" w:rsidRPr="00415B30" w:rsidRDefault="0046030E" w:rsidP="00415B30">
            <w:pPr>
              <w:rPr>
                <w:rFonts w:ascii="Times New Roman" w:hAnsi="Times New Roman"/>
                <w:color w:val="000000"/>
              </w:rPr>
            </w:pPr>
            <w:r w:rsidRPr="0046030E">
              <w:rPr>
                <w:rFonts w:ascii="Times New Roman" w:hAnsi="Times New Roman"/>
                <w:b/>
                <w:color w:val="000000"/>
              </w:rPr>
              <w:t>[2.Meth]</w:t>
            </w:r>
            <w:r w:rsidRPr="0046030E">
              <w:rPr>
                <w:rFonts w:ascii="Times New Roman" w:hAnsi="Times New Roman"/>
                <w:color w:val="000000"/>
              </w:rPr>
              <w:t xml:space="preserve"> Effectuer des recherches bibliographiques.</w:t>
            </w:r>
          </w:p>
          <w:p w14:paraId="4E494DD0" w14:textId="7803089F" w:rsidR="00415B30" w:rsidRPr="00415B30" w:rsidRDefault="00415B30" w:rsidP="00415B30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415B30">
              <w:rPr>
                <w:rFonts w:ascii="Times New Roman" w:hAnsi="Times New Roman"/>
                <w:b/>
                <w:color w:val="000000"/>
              </w:rPr>
              <w:t>[4.DS]</w:t>
            </w:r>
            <w:r w:rsidRPr="00415B30">
              <w:rPr>
                <w:rFonts w:ascii="Times New Roman" w:hAnsi="Times New Roman"/>
                <w:color w:val="000000"/>
              </w:rPr>
              <w:t> Mettre en œuvre des démarches propres aux sciences.</w:t>
            </w:r>
          </w:p>
        </w:tc>
      </w:tr>
      <w:tr w:rsidR="003545E0" w:rsidRPr="00F171F4" w14:paraId="1726A38B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10598" w:type="dxa"/>
            <w:gridSpan w:val="2"/>
          </w:tcPr>
          <w:p w14:paraId="0C91B7D5" w14:textId="77777777" w:rsidR="003545E0" w:rsidRPr="00F171F4" w:rsidRDefault="003545E0" w:rsidP="009C5A41">
            <w:pPr>
              <w:spacing w:before="12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Curseur SAMR</w:t>
            </w:r>
          </w:p>
          <w:p w14:paraId="4D4625D8" w14:textId="31F2063D" w:rsidR="003545E0" w:rsidRPr="00F171F4" w:rsidRDefault="003545E0" w:rsidP="009C5A41">
            <w:pPr>
              <w:spacing w:after="120"/>
              <w:rPr>
                <w:rFonts w:ascii="Times New Roman" w:hAnsi="Times New Roman"/>
                <w:bCs/>
                <w:lang w:eastAsia="ar-SA"/>
              </w:rPr>
            </w:pPr>
            <w:r w:rsidRPr="00F171F4">
              <w:rPr>
                <w:rFonts w:ascii="Times New Roman" w:hAnsi="Times New Roman"/>
              </w:rPr>
              <w:sym w:font="Wingdings 2" w:char="F0A3"/>
            </w:r>
            <w:r w:rsidRPr="00F171F4">
              <w:rPr>
                <w:rFonts w:ascii="Times New Roman" w:hAnsi="Times New Roman"/>
              </w:rPr>
              <w:t xml:space="preserve"> Substitution     </w:t>
            </w:r>
            <w:r w:rsidR="00223D77" w:rsidRPr="00F171F4">
              <w:rPr>
                <w:rFonts w:ascii="Times New Roman" w:hAnsi="Times New Roman"/>
              </w:rPr>
              <w:sym w:font="Wingdings 2" w:char="F0A3"/>
            </w:r>
            <w:r w:rsidR="003639EA">
              <w:rPr>
                <w:rFonts w:ascii="Times New Roman" w:hAnsi="Times New Roman"/>
              </w:rPr>
              <w:t xml:space="preserve"> </w:t>
            </w:r>
            <w:r w:rsidRPr="00F171F4">
              <w:rPr>
                <w:rFonts w:ascii="Times New Roman" w:hAnsi="Times New Roman"/>
              </w:rPr>
              <w:t xml:space="preserve">Augmentation     </w:t>
            </w:r>
            <w:r w:rsidRPr="00F171F4">
              <w:rPr>
                <w:rFonts w:ascii="Times New Roman" w:hAnsi="Times New Roman"/>
              </w:rPr>
              <w:sym w:font="Wingdings 2" w:char="F0A3"/>
            </w:r>
            <w:r w:rsidRPr="00F171F4">
              <w:rPr>
                <w:rFonts w:ascii="Times New Roman" w:hAnsi="Times New Roman"/>
              </w:rPr>
              <w:t xml:space="preserve"> Modification     </w:t>
            </w:r>
            <w:r w:rsidR="00223D77" w:rsidRPr="00F171F4">
              <w:rPr>
                <w:rFonts w:ascii="Times New Roman" w:hAnsi="Times New Roman"/>
              </w:rPr>
              <w:sym w:font="Wingdings 2" w:char="F052"/>
            </w:r>
            <w:r w:rsidRPr="00F171F4">
              <w:rPr>
                <w:rFonts w:ascii="Times New Roman" w:hAnsi="Times New Roman"/>
              </w:rPr>
              <w:t xml:space="preserve"> Redéfinition</w:t>
            </w:r>
          </w:p>
        </w:tc>
      </w:tr>
      <w:tr w:rsidR="003545E0" w:rsidRPr="00F171F4" w14:paraId="3CF6F511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</w:tcPr>
          <w:p w14:paraId="405CB754" w14:textId="77777777" w:rsidR="003545E0" w:rsidRPr="00F171F4" w:rsidRDefault="003545E0" w:rsidP="00311285">
            <w:pPr>
              <w:spacing w:before="10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Remarques</w:t>
            </w:r>
          </w:p>
          <w:p w14:paraId="3FD56372" w14:textId="7B2E95EB" w:rsidR="008B070D" w:rsidRDefault="008B070D" w:rsidP="00C339B2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-Plus-value de l’outil numérique : ce module permet à chacun des élèves, individuellement, de mener une démarche de résolution de problème. 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477262">
              <w:rPr>
                <w:rFonts w:ascii="Times New Roman" w:hAnsi="Times New Roman"/>
                <w:color w:val="000000"/>
              </w:rPr>
              <w:t xml:space="preserve">râce aux </w:t>
            </w:r>
            <w:r>
              <w:rPr>
                <w:rFonts w:ascii="Times New Roman" w:hAnsi="Times New Roman"/>
                <w:color w:val="000000"/>
              </w:rPr>
              <w:t>« </w:t>
            </w:r>
            <w:r w:rsidRPr="00477262">
              <w:rPr>
                <w:rFonts w:ascii="Times New Roman" w:hAnsi="Times New Roman"/>
                <w:color w:val="000000"/>
              </w:rPr>
              <w:t>parcours conditionnels</w:t>
            </w:r>
            <w:r>
              <w:rPr>
                <w:rFonts w:ascii="Times New Roman" w:hAnsi="Times New Roman"/>
                <w:color w:val="000000"/>
              </w:rPr>
              <w:t> »</w:t>
            </w:r>
            <w:r w:rsidRPr="00477262">
              <w:rPr>
                <w:rFonts w:ascii="Times New Roman" w:hAnsi="Times New Roman"/>
                <w:color w:val="000000"/>
              </w:rPr>
              <w:t>, le module s’adapte aux difficultés rencontrées : il permet à chacun des élèves d’obtenir l’aide nécessaire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77262">
              <w:rPr>
                <w:rFonts w:ascii="Times New Roman" w:hAnsi="Times New Roman"/>
                <w:color w:val="000000"/>
              </w:rPr>
              <w:t xml:space="preserve"> alors même que certains élèves refusent parfois les « coups de pouce ».</w:t>
            </w:r>
            <w:r>
              <w:rPr>
                <w:rFonts w:ascii="Times New Roman" w:hAnsi="Times New Roman"/>
                <w:color w:val="000000"/>
              </w:rPr>
              <w:t xml:space="preserve"> Il permet alors une meilleure</w:t>
            </w:r>
            <w:r w:rsidR="00415B30">
              <w:rPr>
                <w:rFonts w:ascii="Times New Roman" w:hAnsi="Times New Roman"/>
                <w:color w:val="000000"/>
              </w:rPr>
              <w:t xml:space="preserve"> prise en charge de l’hétérogénéité du public. L’évaluation de la démarche mise en œuvre par l’élève est facilitée.</w:t>
            </w:r>
          </w:p>
          <w:p w14:paraId="433D2F08" w14:textId="0E3B850E" w:rsidR="006A7D1F" w:rsidRDefault="006A7D1F" w:rsidP="00C339B2">
            <w:pPr>
              <w:spacing w:befor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 Ce module peut être réalisé en classe ou à la maison, </w:t>
            </w:r>
            <w:r w:rsidR="00311285">
              <w:rPr>
                <w:rFonts w:ascii="Times New Roman" w:hAnsi="Times New Roman"/>
              </w:rPr>
              <w:t xml:space="preserve">en préparation d’une évaluation de fin de séquence, </w:t>
            </w:r>
            <w:r>
              <w:rPr>
                <w:rFonts w:ascii="Times New Roman" w:hAnsi="Times New Roman"/>
              </w:rPr>
              <w:t xml:space="preserve">dans le cadre de l’AP, dans le dispositif « devoirs faits », dans le cadre d’un parcours de préparation au diplôme national du brevet… </w:t>
            </w:r>
          </w:p>
          <w:p w14:paraId="6E6E4B1A" w14:textId="30BFE41E" w:rsidR="00477262" w:rsidRPr="00477262" w:rsidRDefault="00477262" w:rsidP="00C339B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77262">
              <w:rPr>
                <w:rFonts w:ascii="Times New Roman" w:hAnsi="Times New Roman"/>
                <w:color w:val="000000"/>
              </w:rPr>
              <w:t>- </w:t>
            </w:r>
            <w:r w:rsidR="006A7D1F">
              <w:rPr>
                <w:rFonts w:ascii="Times New Roman" w:hAnsi="Times New Roman"/>
                <w:color w:val="000000"/>
              </w:rPr>
              <w:t>En classe, o</w:t>
            </w:r>
            <w:r w:rsidRPr="00477262">
              <w:rPr>
                <w:rFonts w:ascii="Times New Roman" w:hAnsi="Times New Roman"/>
                <w:color w:val="000000"/>
              </w:rPr>
              <w:t xml:space="preserve">n peut distribuer aux élèves un document support "prise de note / zone de brouillon". Ce document "brouillon" peut être ramassé (on obtient </w:t>
            </w:r>
            <w:r w:rsidR="006A7D1F">
              <w:rPr>
                <w:rFonts w:ascii="Times New Roman" w:hAnsi="Times New Roman"/>
                <w:color w:val="000000"/>
              </w:rPr>
              <w:t xml:space="preserve">alors </w:t>
            </w:r>
            <w:r w:rsidRPr="00477262">
              <w:rPr>
                <w:rFonts w:ascii="Times New Roman" w:hAnsi="Times New Roman"/>
                <w:color w:val="000000"/>
              </w:rPr>
              <w:t xml:space="preserve">des </w:t>
            </w:r>
            <w:r w:rsidR="00DF41A0">
              <w:rPr>
                <w:rFonts w:ascii="Times New Roman" w:hAnsi="Times New Roman"/>
                <w:color w:val="000000"/>
              </w:rPr>
              <w:t>éléments d’évaluation</w:t>
            </w:r>
            <w:r w:rsidRPr="00477262">
              <w:rPr>
                <w:rFonts w:ascii="Times New Roman" w:hAnsi="Times New Roman"/>
                <w:color w:val="000000"/>
              </w:rPr>
              <w:t xml:space="preserve"> pour le domaine 2</w:t>
            </w:r>
            <w:r w:rsidR="006A7D1F">
              <w:rPr>
                <w:rFonts w:ascii="Times New Roman" w:hAnsi="Times New Roman"/>
                <w:color w:val="000000"/>
              </w:rPr>
              <w:t> : « méthode et outils pour apprendre »</w:t>
            </w:r>
            <w:r w:rsidRPr="00477262">
              <w:rPr>
                <w:rFonts w:ascii="Times New Roman" w:hAnsi="Times New Roman"/>
                <w:color w:val="000000"/>
              </w:rPr>
              <w:t>).</w:t>
            </w:r>
          </w:p>
          <w:p w14:paraId="184417EA" w14:textId="1C6C31F2" w:rsidR="00477262" w:rsidRPr="00477262" w:rsidRDefault="006A7D1F" w:rsidP="00C339B2">
            <w:pPr>
              <w:spacing w:befor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 La correction, par l’enseignant, </w:t>
            </w:r>
            <w:r w:rsidR="00477262" w:rsidRPr="00477262">
              <w:rPr>
                <w:rFonts w:ascii="Times New Roman" w:hAnsi="Times New Roman"/>
                <w:color w:val="000000"/>
              </w:rPr>
              <w:t xml:space="preserve">des questions ouvertes donne des informations sur la capacité à passer à l'écrit : forme de l'écrit, qualité de l'argumentation... Cela donne des </w:t>
            </w:r>
            <w:r w:rsidRPr="006A7D1F">
              <w:rPr>
                <w:rFonts w:ascii="Times New Roman" w:hAnsi="Times New Roman"/>
                <w:color w:val="000000"/>
              </w:rPr>
              <w:t>éléments d’évaluation pour</w:t>
            </w:r>
            <w:r w:rsidR="00477262" w:rsidRPr="00477262">
              <w:rPr>
                <w:rFonts w:ascii="Times New Roman" w:hAnsi="Times New Roman"/>
                <w:color w:val="000000"/>
              </w:rPr>
              <w:t xml:space="preserve"> la composante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 w:rsidR="00477262" w:rsidRPr="00477262">
              <w:rPr>
                <w:rFonts w:ascii="Times New Roman" w:hAnsi="Times New Roman"/>
                <w:color w:val="000000"/>
              </w:rPr>
              <w:t>du domaine 1</w:t>
            </w:r>
            <w:r w:rsidR="00311285">
              <w:rPr>
                <w:rFonts w:ascii="Times New Roman" w:hAnsi="Times New Roman"/>
                <w:color w:val="000000"/>
              </w:rPr>
              <w:t>,</w:t>
            </w:r>
            <w:r w:rsidR="00477262" w:rsidRPr="00477262">
              <w:rPr>
                <w:rFonts w:ascii="Times New Roman" w:hAnsi="Times New Roman"/>
                <w:color w:val="000000"/>
              </w:rPr>
              <w:t xml:space="preserve"> et sur le domaine 4.</w:t>
            </w:r>
          </w:p>
          <w:p w14:paraId="07561C0A" w14:textId="74BD21ED" w:rsidR="00477262" w:rsidRDefault="00477262" w:rsidP="00C339B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477262">
              <w:rPr>
                <w:rFonts w:ascii="Times New Roman" w:hAnsi="Times New Roman"/>
                <w:color w:val="000000"/>
              </w:rPr>
              <w:t>- </w:t>
            </w:r>
            <w:r w:rsidR="00DF41A0">
              <w:rPr>
                <w:rFonts w:ascii="Times New Roman" w:hAnsi="Times New Roman"/>
                <w:color w:val="000000"/>
              </w:rPr>
              <w:t>En accédant</w:t>
            </w:r>
            <w:r w:rsidRPr="00477262">
              <w:rPr>
                <w:rFonts w:ascii="Times New Roman" w:hAnsi="Times New Roman"/>
                <w:color w:val="000000"/>
              </w:rPr>
              <w:t xml:space="preserve"> aux résultats, on voit </w:t>
            </w:r>
            <w:r w:rsidR="00DF41A0">
              <w:rPr>
                <w:rFonts w:ascii="Times New Roman" w:hAnsi="Times New Roman"/>
                <w:color w:val="000000"/>
              </w:rPr>
              <w:t>très facilement</w:t>
            </w:r>
            <w:r w:rsidRPr="00477262">
              <w:rPr>
                <w:rFonts w:ascii="Times New Roman" w:hAnsi="Times New Roman"/>
                <w:color w:val="000000"/>
              </w:rPr>
              <w:t xml:space="preserve"> les élèves qui n'ont pas eu besoin de passer par les aides et qui savent résoudre des problèmes ouverts (</w:t>
            </w:r>
            <w:r w:rsidR="00DF41A0">
              <w:rPr>
                <w:rFonts w:ascii="Times New Roman" w:hAnsi="Times New Roman"/>
                <w:color w:val="000000"/>
              </w:rPr>
              <w:t xml:space="preserve">c’est un </w:t>
            </w:r>
            <w:r w:rsidRPr="00477262">
              <w:rPr>
                <w:rFonts w:ascii="Times New Roman" w:hAnsi="Times New Roman"/>
                <w:color w:val="000000"/>
              </w:rPr>
              <w:t>éléme</w:t>
            </w:r>
            <w:r w:rsidR="00DF41A0">
              <w:rPr>
                <w:rFonts w:ascii="Times New Roman" w:hAnsi="Times New Roman"/>
                <w:color w:val="000000"/>
              </w:rPr>
              <w:t>nt important pour l’</w:t>
            </w:r>
            <w:r w:rsidRPr="00477262">
              <w:rPr>
                <w:rFonts w:ascii="Times New Roman" w:hAnsi="Times New Roman"/>
                <w:color w:val="000000"/>
              </w:rPr>
              <w:t xml:space="preserve">évaluation </w:t>
            </w:r>
            <w:r w:rsidR="00DF41A0">
              <w:rPr>
                <w:rFonts w:ascii="Times New Roman" w:hAnsi="Times New Roman"/>
                <w:color w:val="000000"/>
              </w:rPr>
              <w:t>du</w:t>
            </w:r>
            <w:r w:rsidRPr="00477262">
              <w:rPr>
                <w:rFonts w:ascii="Times New Roman" w:hAnsi="Times New Roman"/>
                <w:color w:val="000000"/>
              </w:rPr>
              <w:t xml:space="preserve"> domaine 4). La facilité à utiliser une formule mathématique donne</w:t>
            </w:r>
            <w:r w:rsidR="00DF41A0">
              <w:rPr>
                <w:rFonts w:ascii="Times New Roman" w:hAnsi="Times New Roman"/>
                <w:color w:val="000000"/>
              </w:rPr>
              <w:t>, elle,</w:t>
            </w:r>
            <w:r w:rsidRPr="00477262">
              <w:rPr>
                <w:rFonts w:ascii="Times New Roman" w:hAnsi="Times New Roman"/>
                <w:color w:val="000000"/>
              </w:rPr>
              <w:t xml:space="preserve"> des </w:t>
            </w:r>
            <w:r w:rsidR="00DF41A0">
              <w:rPr>
                <w:rFonts w:ascii="Times New Roman" w:hAnsi="Times New Roman"/>
                <w:color w:val="000000"/>
              </w:rPr>
              <w:t>éléments d’évaluation pour</w:t>
            </w:r>
            <w:r w:rsidRPr="00477262">
              <w:rPr>
                <w:rFonts w:ascii="Times New Roman" w:hAnsi="Times New Roman"/>
                <w:color w:val="000000"/>
              </w:rPr>
              <w:t xml:space="preserve"> </w:t>
            </w:r>
            <w:r w:rsidR="00DF41A0">
              <w:rPr>
                <w:rFonts w:ascii="Times New Roman" w:hAnsi="Times New Roman"/>
                <w:color w:val="000000"/>
              </w:rPr>
              <w:t xml:space="preserve">la </w:t>
            </w:r>
            <w:r w:rsidRPr="00477262">
              <w:rPr>
                <w:rFonts w:ascii="Times New Roman" w:hAnsi="Times New Roman"/>
                <w:color w:val="000000"/>
              </w:rPr>
              <w:t xml:space="preserve">composante 1.3 du domaine 1. </w:t>
            </w:r>
          </w:p>
          <w:p w14:paraId="2EF19989" w14:textId="2F4D3E92" w:rsidR="00415B30" w:rsidRPr="00415B30" w:rsidRDefault="00415B30" w:rsidP="00C339B2">
            <w:pPr>
              <w:spacing w:befor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Les élèves qui travaillent rapidement peuvent enchaîner avec le module « </w:t>
            </w:r>
            <w:r w:rsidRPr="00415B30">
              <w:rPr>
                <w:rFonts w:ascii="Times New Roman" w:hAnsi="Times New Roman"/>
                <w:color w:val="000000"/>
              </w:rPr>
              <w:t>comment expliquer les superpouvoirs de Superman ?</w:t>
            </w:r>
            <w:r>
              <w:rPr>
                <w:rFonts w:ascii="Times New Roman" w:hAnsi="Times New Roman"/>
                <w:color w:val="000000"/>
              </w:rPr>
              <w:t> »</w:t>
            </w:r>
          </w:p>
          <w:p w14:paraId="0C6C9759" w14:textId="5728775B" w:rsidR="00415B30" w:rsidRPr="00F171F4" w:rsidRDefault="00870787" w:rsidP="00C339B2">
            <w:pPr>
              <w:spacing w:befor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Pour retrouver ce module : dans la recherche « tout </w:t>
            </w:r>
            <w:proofErr w:type="spellStart"/>
            <w:r>
              <w:rPr>
                <w:rFonts w:ascii="Times New Roman" w:hAnsi="Times New Roman"/>
                <w:color w:val="000000"/>
              </w:rPr>
              <w:t>tactiléo</w:t>
            </w:r>
            <w:proofErr w:type="spellEnd"/>
            <w:r>
              <w:rPr>
                <w:rFonts w:ascii="Times New Roman" w:hAnsi="Times New Roman"/>
                <w:color w:val="000000"/>
              </w:rPr>
              <w:t> », saisir [PC Créteil] Explication d’un exploit.</w:t>
            </w:r>
          </w:p>
        </w:tc>
      </w:tr>
    </w:tbl>
    <w:p w14:paraId="35BBC8AD" w14:textId="77777777" w:rsidR="003E76EF" w:rsidRPr="00F171F4" w:rsidRDefault="003E76EF" w:rsidP="00311285">
      <w:pPr>
        <w:rPr>
          <w:rFonts w:ascii="Times New Roman" w:hAnsi="Times New Roman"/>
        </w:rPr>
      </w:pPr>
    </w:p>
    <w:sectPr w:rsidR="003E76EF" w:rsidRPr="00F171F4" w:rsidSect="00415B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94491D"/>
    <w:multiLevelType w:val="hybridMultilevel"/>
    <w:tmpl w:val="2852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E0"/>
    <w:multiLevelType w:val="hybridMultilevel"/>
    <w:tmpl w:val="F140D164"/>
    <w:lvl w:ilvl="0" w:tplc="BBBE0102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7BA"/>
    <w:multiLevelType w:val="hybridMultilevel"/>
    <w:tmpl w:val="12188DC0"/>
    <w:lvl w:ilvl="0" w:tplc="0A362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23670"/>
    <w:multiLevelType w:val="multilevel"/>
    <w:tmpl w:val="F1C23C0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160F2"/>
    <w:multiLevelType w:val="hybridMultilevel"/>
    <w:tmpl w:val="8870C17C"/>
    <w:lvl w:ilvl="0" w:tplc="70E6B22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D7FAC"/>
    <w:multiLevelType w:val="multilevel"/>
    <w:tmpl w:val="0F8A6770"/>
    <w:lvl w:ilvl="0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82EB1"/>
    <w:multiLevelType w:val="hybridMultilevel"/>
    <w:tmpl w:val="6DF27F18"/>
    <w:lvl w:ilvl="0" w:tplc="93D83A98">
      <w:start w:val="1"/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07CAC"/>
    <w:multiLevelType w:val="hybridMultilevel"/>
    <w:tmpl w:val="C8060562"/>
    <w:lvl w:ilvl="0" w:tplc="BA82BB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0"/>
    <w:rsid w:val="000B5C84"/>
    <w:rsid w:val="000D294B"/>
    <w:rsid w:val="00204F89"/>
    <w:rsid w:val="00223D77"/>
    <w:rsid w:val="00311285"/>
    <w:rsid w:val="003545E0"/>
    <w:rsid w:val="003639EA"/>
    <w:rsid w:val="003A1196"/>
    <w:rsid w:val="003E1416"/>
    <w:rsid w:val="003E76EF"/>
    <w:rsid w:val="00415B30"/>
    <w:rsid w:val="0046030E"/>
    <w:rsid w:val="00477262"/>
    <w:rsid w:val="004E0331"/>
    <w:rsid w:val="004E5DC6"/>
    <w:rsid w:val="005B6D64"/>
    <w:rsid w:val="006A56F8"/>
    <w:rsid w:val="006A7D1F"/>
    <w:rsid w:val="00870787"/>
    <w:rsid w:val="008829BC"/>
    <w:rsid w:val="008B070D"/>
    <w:rsid w:val="008D51D6"/>
    <w:rsid w:val="008E11AA"/>
    <w:rsid w:val="00993146"/>
    <w:rsid w:val="009B6AB7"/>
    <w:rsid w:val="009C5A41"/>
    <w:rsid w:val="00A81891"/>
    <w:rsid w:val="00B71240"/>
    <w:rsid w:val="00BF52F8"/>
    <w:rsid w:val="00C339B2"/>
    <w:rsid w:val="00D90029"/>
    <w:rsid w:val="00DF24DE"/>
    <w:rsid w:val="00DF41A0"/>
    <w:rsid w:val="00E03B70"/>
    <w:rsid w:val="00E20A1C"/>
    <w:rsid w:val="00E5032D"/>
    <w:rsid w:val="00E65255"/>
    <w:rsid w:val="00E7392B"/>
    <w:rsid w:val="00F171F4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F3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45E0"/>
    <w:pPr>
      <w:suppressAutoHyphens/>
      <w:spacing w:after="200"/>
      <w:ind w:left="720"/>
      <w:contextualSpacing/>
    </w:pPr>
    <w:rPr>
      <w:lang w:eastAsia="zh-CN"/>
    </w:rPr>
  </w:style>
  <w:style w:type="character" w:styleId="Lienhypertexte">
    <w:name w:val="Hyperlink"/>
    <w:uiPriority w:val="99"/>
    <w:unhideWhenUsed/>
    <w:rsid w:val="008829BC"/>
    <w:rPr>
      <w:color w:val="0000FF"/>
      <w:u w:val="single"/>
    </w:rPr>
  </w:style>
  <w:style w:type="character" w:customStyle="1" w:styleId="Mentionner1">
    <w:name w:val="Mentionner1"/>
    <w:uiPriority w:val="99"/>
    <w:semiHidden/>
    <w:unhideWhenUsed/>
    <w:rsid w:val="008829B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45E0"/>
    <w:pPr>
      <w:suppressAutoHyphens/>
      <w:spacing w:after="200"/>
      <w:ind w:left="720"/>
      <w:contextualSpacing/>
    </w:pPr>
    <w:rPr>
      <w:lang w:eastAsia="zh-CN"/>
    </w:rPr>
  </w:style>
  <w:style w:type="character" w:styleId="Lienhypertexte">
    <w:name w:val="Hyperlink"/>
    <w:uiPriority w:val="99"/>
    <w:unhideWhenUsed/>
    <w:rsid w:val="008829BC"/>
    <w:rPr>
      <w:color w:val="0000FF"/>
      <w:u w:val="single"/>
    </w:rPr>
  </w:style>
  <w:style w:type="character" w:customStyle="1" w:styleId="Mentionner1">
    <w:name w:val="Mentionner1"/>
    <w:uiPriority w:val="99"/>
    <w:semiHidden/>
    <w:unhideWhenUsed/>
    <w:rsid w:val="008829B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Mercier</dc:creator>
  <cp:lastModifiedBy>rectorat</cp:lastModifiedBy>
  <cp:revision>2</cp:revision>
  <cp:lastPrinted>2017-09-24T16:01:00Z</cp:lastPrinted>
  <dcterms:created xsi:type="dcterms:W3CDTF">2018-12-17T09:34:00Z</dcterms:created>
  <dcterms:modified xsi:type="dcterms:W3CDTF">2018-12-17T09:34:00Z</dcterms:modified>
</cp:coreProperties>
</file>