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B2" w:rsidRDefault="00A774B2" w:rsidP="00A774B2">
      <w:pPr>
        <w:pStyle w:val="Stylepardfaut"/>
        <w:jc w:val="both"/>
      </w:pPr>
      <w:r>
        <w:rPr>
          <w:rFonts w:ascii="Arial" w:hAnsi="Arial" w:cs="Arial"/>
          <w:b/>
          <w:sz w:val="28"/>
        </w:rPr>
        <w:t xml:space="preserve">FICHE 1  </w:t>
      </w:r>
    </w:p>
    <w:p w:rsidR="00A774B2" w:rsidRDefault="00A774B2" w:rsidP="00A774B2">
      <w:pPr>
        <w:pStyle w:val="Stylepardfaut"/>
        <w:jc w:val="both"/>
      </w:pPr>
      <w:r>
        <w:rPr>
          <w:rFonts w:ascii="Arial" w:hAnsi="Arial" w:cs="Arial"/>
          <w:b/>
          <w:sz w:val="28"/>
        </w:rPr>
        <w:t>Fiche à destination des enseignants</w:t>
      </w:r>
    </w:p>
    <w:p w:rsidR="00A774B2" w:rsidRDefault="00A774B2" w:rsidP="00A774B2">
      <w:pPr>
        <w:pStyle w:val="Stylepardfaut"/>
        <w:jc w:val="center"/>
      </w:pPr>
      <w:r>
        <w:rPr>
          <w:rFonts w:ascii="Arial" w:hAnsi="Arial" w:cs="Arial"/>
          <w:b/>
          <w:bCs/>
          <w:sz w:val="28"/>
        </w:rPr>
        <w:t>1S </w:t>
      </w:r>
      <w:r w:rsidR="006A7BF5">
        <w:rPr>
          <w:rFonts w:ascii="Arial" w:hAnsi="Arial" w:cs="Arial"/>
          <w:b/>
          <w:bCs/>
          <w:sz w:val="28"/>
        </w:rPr>
        <w:t>21</w:t>
      </w:r>
    </w:p>
    <w:p w:rsidR="00C916CF" w:rsidRPr="006A7BF5" w:rsidRDefault="00C916CF" w:rsidP="00C916CF">
      <w:pPr>
        <w:spacing w:after="120"/>
        <w:jc w:val="center"/>
        <w:rPr>
          <w:rFonts w:ascii="Arial" w:hAnsi="Arial" w:cs="Arial"/>
          <w:b/>
          <w:sz w:val="28"/>
          <w:szCs w:val="18"/>
        </w:rPr>
      </w:pPr>
      <w:r w:rsidRPr="006A7BF5">
        <w:rPr>
          <w:rFonts w:ascii="Arial" w:hAnsi="Arial" w:cs="Arial"/>
          <w:b/>
          <w:sz w:val="28"/>
          <w:szCs w:val="18"/>
        </w:rPr>
        <w:t>THYROÏDE ET IODOTHÉRAPIE</w:t>
      </w:r>
    </w:p>
    <w:tbl>
      <w:tblPr>
        <w:tblW w:w="0" w:type="auto"/>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2405"/>
        <w:gridCol w:w="3789"/>
        <w:gridCol w:w="3935"/>
      </w:tblGrid>
      <w:tr w:rsidR="00A774B2" w:rsidRPr="00C916CF" w:rsidTr="00C60002">
        <w:trPr>
          <w:cantSplit/>
          <w:trHeight w:val="373"/>
        </w:trPr>
        <w:tc>
          <w:tcPr>
            <w:tcW w:w="2405" w:type="dxa"/>
            <w:tcBorders>
              <w:top w:val="single" w:sz="4" w:space="0" w:color="000001"/>
              <w:left w:val="single" w:sz="4" w:space="0" w:color="000001"/>
              <w:bottom w:val="single" w:sz="4" w:space="0" w:color="000001"/>
            </w:tcBorders>
            <w:shd w:val="clear" w:color="auto" w:fill="FFFFFF"/>
            <w:tcMar>
              <w:left w:w="65" w:type="dxa"/>
            </w:tcMar>
            <w:vAlign w:val="center"/>
          </w:tcPr>
          <w:p w:rsidR="00A774B2" w:rsidRPr="00C916CF" w:rsidRDefault="00A774B2" w:rsidP="00780811">
            <w:pPr>
              <w:pStyle w:val="Stylepardfaut"/>
              <w:spacing w:before="120" w:after="120"/>
              <w:jc w:val="center"/>
              <w:rPr>
                <w:rFonts w:ascii="Times New Roman" w:hAnsi="Times New Roman" w:cs="Times New Roman"/>
              </w:rPr>
            </w:pPr>
            <w:r w:rsidRPr="00C916CF">
              <w:rPr>
                <w:rFonts w:ascii="Times New Roman" w:hAnsi="Times New Roman" w:cs="Times New Roman"/>
                <w:b/>
                <w:i/>
              </w:rPr>
              <w:t>Type d'activité</w:t>
            </w:r>
          </w:p>
        </w:tc>
        <w:tc>
          <w:tcPr>
            <w:tcW w:w="772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A774B2" w:rsidRPr="000165F8" w:rsidRDefault="000165F8" w:rsidP="00780811">
            <w:pPr>
              <w:pStyle w:val="Pieddepage"/>
              <w:spacing w:before="100"/>
              <w:jc w:val="center"/>
              <w:rPr>
                <w:b/>
                <w:i/>
              </w:rPr>
            </w:pPr>
            <w:r w:rsidRPr="000165F8">
              <w:rPr>
                <w:b/>
                <w:i/>
              </w:rPr>
              <w:t>Résolution de problème</w:t>
            </w:r>
          </w:p>
        </w:tc>
      </w:tr>
      <w:tr w:rsidR="00A774B2" w:rsidRPr="00C916CF" w:rsidTr="00C60002">
        <w:trPr>
          <w:cantSplit/>
          <w:trHeight w:val="493"/>
        </w:trPr>
        <w:tc>
          <w:tcPr>
            <w:tcW w:w="2405" w:type="dxa"/>
            <w:vMerge w:val="restart"/>
            <w:tcBorders>
              <w:left w:val="single" w:sz="4" w:space="0" w:color="000001"/>
              <w:bottom w:val="single" w:sz="4" w:space="0" w:color="000001"/>
            </w:tcBorders>
            <w:shd w:val="clear" w:color="auto" w:fill="FFFFFF"/>
            <w:tcMar>
              <w:left w:w="65" w:type="dxa"/>
            </w:tcMar>
            <w:vAlign w:val="center"/>
          </w:tcPr>
          <w:p w:rsidR="00A774B2" w:rsidRPr="00C916CF" w:rsidRDefault="00A774B2" w:rsidP="00780811">
            <w:pPr>
              <w:pStyle w:val="Stylepardfaut"/>
              <w:spacing w:before="120" w:after="120"/>
              <w:jc w:val="center"/>
              <w:rPr>
                <w:rFonts w:ascii="Times New Roman" w:hAnsi="Times New Roman" w:cs="Times New Roman"/>
              </w:rPr>
            </w:pPr>
          </w:p>
        </w:tc>
        <w:tc>
          <w:tcPr>
            <w:tcW w:w="3789" w:type="dxa"/>
            <w:tcBorders>
              <w:left w:val="single" w:sz="4" w:space="0" w:color="000001"/>
              <w:bottom w:val="single" w:sz="4" w:space="0" w:color="000001"/>
            </w:tcBorders>
            <w:shd w:val="clear" w:color="auto" w:fill="FFFFFF"/>
            <w:tcMar>
              <w:left w:w="65" w:type="dxa"/>
            </w:tcMar>
          </w:tcPr>
          <w:p w:rsidR="00A774B2" w:rsidRPr="00C916CF" w:rsidRDefault="00A774B2" w:rsidP="00780811">
            <w:pPr>
              <w:pStyle w:val="Stylepardfaut"/>
              <w:spacing w:before="240"/>
              <w:jc w:val="center"/>
              <w:rPr>
                <w:rFonts w:ascii="Times New Roman" w:hAnsi="Times New Roman" w:cs="Times New Roman"/>
              </w:rPr>
            </w:pPr>
            <w:r w:rsidRPr="00C916CF">
              <w:rPr>
                <w:rFonts w:ascii="Times New Roman" w:hAnsi="Times New Roman" w:cs="Times New Roman"/>
                <w:b/>
                <w:bCs/>
              </w:rPr>
              <w:t>Notions et contenus</w:t>
            </w:r>
          </w:p>
          <w:p w:rsidR="008966E1" w:rsidRDefault="008966E1" w:rsidP="00780811">
            <w:pPr>
              <w:pStyle w:val="Stylepardfaut"/>
              <w:rPr>
                <w:rFonts w:ascii="Times New Roman" w:hAnsi="Times New Roman" w:cs="Times New Roman"/>
              </w:rPr>
            </w:pPr>
            <w:r>
              <w:rPr>
                <w:rFonts w:ascii="Times New Roman" w:hAnsi="Times New Roman" w:cs="Times New Roman"/>
              </w:rPr>
              <w:t>Interaction lumière-matière : émission</w:t>
            </w:r>
          </w:p>
          <w:p w:rsidR="008966E1" w:rsidRDefault="008966E1" w:rsidP="00780811">
            <w:pPr>
              <w:pStyle w:val="Stylepardfaut"/>
              <w:rPr>
                <w:rFonts w:ascii="Times New Roman" w:hAnsi="Times New Roman" w:cs="Times New Roman"/>
              </w:rPr>
            </w:pPr>
            <w:r>
              <w:rPr>
                <w:rFonts w:ascii="Times New Roman" w:hAnsi="Times New Roman" w:cs="Times New Roman"/>
              </w:rPr>
              <w:t xml:space="preserve">Relation </w:t>
            </w:r>
            <m:oMath>
              <m:r>
                <m:rPr>
                  <m:sty m:val="p"/>
                </m:rPr>
                <w:rPr>
                  <w:rFonts w:ascii="Cambria Math" w:hAnsi="Cambria Math"/>
                </w:rPr>
                <m:t>∆E=h</m:t>
              </m:r>
              <m:r>
                <m:rPr>
                  <m:sty m:val="p"/>
                </m:rPr>
                <w:rPr>
                  <w:rFonts w:ascii="Cambria Math" w:hAnsi="Cambria Math"/>
                </w:rPr>
                <w:sym w:font="Symbol" w:char="F06E"/>
              </m:r>
            </m:oMath>
          </w:p>
          <w:p w:rsidR="00C916CF" w:rsidRDefault="00C916CF" w:rsidP="00780811">
            <w:pPr>
              <w:pStyle w:val="Stylepardfaut"/>
              <w:rPr>
                <w:rFonts w:ascii="Times New Roman" w:hAnsi="Times New Roman" w:cs="Times New Roman"/>
              </w:rPr>
            </w:pPr>
            <w:r>
              <w:rPr>
                <w:rFonts w:ascii="Times New Roman" w:hAnsi="Times New Roman" w:cs="Times New Roman"/>
              </w:rPr>
              <w:t>Lois de conservation dans les réactions nucléaires</w:t>
            </w:r>
          </w:p>
          <w:p w:rsidR="00C916CF" w:rsidRDefault="00C916CF" w:rsidP="00780811">
            <w:pPr>
              <w:pStyle w:val="Stylepardfaut"/>
              <w:rPr>
                <w:rFonts w:ascii="Times New Roman" w:hAnsi="Times New Roman" w:cs="Times New Roman"/>
              </w:rPr>
            </w:pPr>
            <w:r>
              <w:rPr>
                <w:rFonts w:ascii="Times New Roman" w:hAnsi="Times New Roman" w:cs="Times New Roman"/>
              </w:rPr>
              <w:t>Var</w:t>
            </w:r>
            <w:r w:rsidR="000165F8">
              <w:rPr>
                <w:rFonts w:ascii="Times New Roman" w:hAnsi="Times New Roman" w:cs="Times New Roman"/>
              </w:rPr>
              <w:t xml:space="preserve">iation </w:t>
            </w:r>
            <w:r>
              <w:rPr>
                <w:rFonts w:ascii="Times New Roman" w:hAnsi="Times New Roman" w:cs="Times New Roman"/>
              </w:rPr>
              <w:t>de masse</w:t>
            </w:r>
            <w:r w:rsidR="000165F8">
              <w:rPr>
                <w:rFonts w:ascii="Times New Roman" w:hAnsi="Times New Roman" w:cs="Times New Roman"/>
              </w:rPr>
              <w:t xml:space="preserve"> et énergie libérée</w:t>
            </w:r>
          </w:p>
          <w:p w:rsidR="00A774B2" w:rsidRPr="00C916CF" w:rsidRDefault="00C916CF" w:rsidP="00780811">
            <w:pPr>
              <w:pStyle w:val="Stylepardfaut"/>
              <w:rPr>
                <w:rFonts w:ascii="Times New Roman" w:hAnsi="Times New Roman" w:cs="Times New Roman"/>
              </w:rPr>
            </w:pPr>
            <w:r>
              <w:rPr>
                <w:rFonts w:ascii="Times New Roman" w:hAnsi="Times New Roman" w:cs="Times New Roman"/>
              </w:rPr>
              <w:t>Réactions nucléaires et aspects énergétiques associés</w:t>
            </w:r>
          </w:p>
        </w:tc>
        <w:tc>
          <w:tcPr>
            <w:tcW w:w="3935" w:type="dxa"/>
            <w:tcBorders>
              <w:left w:val="single" w:sz="4" w:space="0" w:color="000001"/>
              <w:bottom w:val="single" w:sz="4" w:space="0" w:color="000001"/>
              <w:right w:val="single" w:sz="4" w:space="0" w:color="000001"/>
            </w:tcBorders>
            <w:shd w:val="clear" w:color="auto" w:fill="FFFFFF"/>
            <w:tcMar>
              <w:left w:w="65" w:type="dxa"/>
            </w:tcMar>
          </w:tcPr>
          <w:p w:rsidR="00A774B2" w:rsidRPr="00C916CF" w:rsidRDefault="00A774B2" w:rsidP="00780811">
            <w:pPr>
              <w:pStyle w:val="Stylepardfaut"/>
              <w:spacing w:before="240"/>
              <w:jc w:val="center"/>
              <w:rPr>
                <w:rFonts w:ascii="Times New Roman" w:hAnsi="Times New Roman" w:cs="Times New Roman"/>
              </w:rPr>
            </w:pPr>
            <w:r w:rsidRPr="00C916CF">
              <w:rPr>
                <w:rFonts w:ascii="Times New Roman" w:hAnsi="Times New Roman" w:cs="Times New Roman"/>
                <w:b/>
                <w:bCs/>
              </w:rPr>
              <w:t>Compétences  attendues</w:t>
            </w:r>
          </w:p>
          <w:p w:rsidR="00684281" w:rsidRDefault="00684281" w:rsidP="00780811">
            <w:pPr>
              <w:pStyle w:val="Stylepardfaut"/>
              <w:jc w:val="both"/>
              <w:rPr>
                <w:rFonts w:ascii="Times New Roman" w:hAnsi="Times New Roman" w:cs="Times New Roman"/>
                <w:bCs/>
              </w:rPr>
            </w:pPr>
            <w:r>
              <w:rPr>
                <w:rFonts w:ascii="Times New Roman" w:hAnsi="Times New Roman" w:cs="Times New Roman"/>
                <w:bCs/>
              </w:rPr>
              <w:t>Interpréter les échanges d’énergie entre lumière et matière à l’aide du modèle corpusculaire de la lumière.</w:t>
            </w:r>
          </w:p>
          <w:p w:rsidR="00684281" w:rsidRDefault="00684281" w:rsidP="00780811">
            <w:pPr>
              <w:pStyle w:val="Stylepardfaut"/>
              <w:jc w:val="both"/>
              <w:rPr>
                <w:rFonts w:ascii="Times New Roman" w:hAnsi="Times New Roman" w:cs="Times New Roman"/>
                <w:bCs/>
              </w:rPr>
            </w:pPr>
            <w:r>
              <w:rPr>
                <w:rFonts w:ascii="Times New Roman" w:hAnsi="Times New Roman" w:cs="Times New Roman"/>
                <w:bCs/>
              </w:rPr>
              <w:t xml:space="preserve">Connaître les relations </w:t>
            </w:r>
            <m:oMath>
              <m:r>
                <m:rPr>
                  <m:sty m:val="p"/>
                </m:rPr>
                <w:rPr>
                  <w:rFonts w:ascii="Cambria Math" w:hAnsi="Cambria Math"/>
                </w:rPr>
                <m:t>∆E=h</m:t>
              </m:r>
              <m:r>
                <m:rPr>
                  <m:sty m:val="p"/>
                </m:rPr>
                <w:rPr>
                  <w:rFonts w:ascii="Cambria Math" w:hAnsi="Cambria Math"/>
                </w:rPr>
                <w:sym w:font="Symbol" w:char="F06E"/>
              </m:r>
            </m:oMath>
            <w:r>
              <w:rPr>
                <w:rFonts w:ascii="Times New Roman" w:hAnsi="Times New Roman" w:cs="Times New Roman"/>
              </w:rPr>
              <w:t xml:space="preserve">  et  </w:t>
            </w:r>
            <m:oMath>
              <m:r>
                <m:rPr>
                  <m:sty m:val="p"/>
                </m:rPr>
                <w:rPr>
                  <w:rFonts w:ascii="Cambria Math" w:hAnsi="Cambria Math"/>
                </w:rPr>
                <w:sym w:font="Symbol" w:char="F06C"/>
              </m:r>
              <m:r>
                <m:rPr>
                  <m:sty m:val="p"/>
                </m:rPr>
                <w:rPr>
                  <w:rFonts w:ascii="Cambria Math" w:hAnsi="Cambria Math"/>
                </w:rPr>
                <m:t>=</m:t>
              </m:r>
              <m:f>
                <m:fPr>
                  <m:ctrlPr>
                    <w:rPr>
                      <w:rFonts w:ascii="Cambria Math" w:hAnsi="Cambria Math"/>
                    </w:rPr>
                  </m:ctrlPr>
                </m:fPr>
                <m:num>
                  <m:r>
                    <m:rPr>
                      <m:sty m:val="p"/>
                    </m:rPr>
                    <w:rPr>
                      <w:rFonts w:ascii="Cambria Math" w:hAnsi="Cambria Math"/>
                    </w:rPr>
                    <m:t>c</m:t>
                  </m:r>
                </m:num>
                <m:den>
                  <m:r>
                    <m:rPr>
                      <m:sty m:val="p"/>
                    </m:rPr>
                    <w:rPr>
                      <w:rFonts w:ascii="Cambria Math" w:hAnsi="Cambria Math"/>
                    </w:rPr>
                    <m:t xml:space="preserve"> </m:t>
                  </m:r>
                  <m:r>
                    <m:rPr>
                      <m:sty m:val="p"/>
                    </m:rPr>
                    <w:rPr>
                      <w:rFonts w:ascii="Cambria Math" w:hAnsi="Cambria Math"/>
                    </w:rPr>
                    <w:sym w:font="Symbol" w:char="F06E"/>
                  </m:r>
                </m:den>
              </m:f>
            </m:oMath>
          </w:p>
          <w:p w:rsidR="00A774B2" w:rsidRPr="00C916CF" w:rsidRDefault="00C916CF" w:rsidP="00780811">
            <w:pPr>
              <w:pStyle w:val="Stylepardfaut"/>
              <w:jc w:val="both"/>
              <w:rPr>
                <w:rFonts w:ascii="Times New Roman" w:hAnsi="Times New Roman" w:cs="Times New Roman"/>
              </w:rPr>
            </w:pPr>
            <w:r>
              <w:rPr>
                <w:rFonts w:ascii="Times New Roman" w:hAnsi="Times New Roman" w:cs="Times New Roman"/>
                <w:bCs/>
              </w:rPr>
              <w:t>Utiliser les lois de conservation pour écrire une réaction nucléaire</w:t>
            </w:r>
            <w:r w:rsidR="008966E1">
              <w:rPr>
                <w:rFonts w:ascii="Times New Roman" w:hAnsi="Times New Roman" w:cs="Times New Roman"/>
                <w:bCs/>
              </w:rPr>
              <w:t>.</w:t>
            </w:r>
          </w:p>
          <w:p w:rsidR="00A774B2" w:rsidRDefault="00C916CF" w:rsidP="00780811">
            <w:pPr>
              <w:pStyle w:val="Stylepardfaut"/>
              <w:rPr>
                <w:rFonts w:ascii="Times New Roman" w:hAnsi="Times New Roman" w:cs="Times New Roman"/>
              </w:rPr>
            </w:pPr>
            <w:r>
              <w:rPr>
                <w:rFonts w:ascii="Times New Roman" w:hAnsi="Times New Roman" w:cs="Times New Roman"/>
              </w:rPr>
              <w:t xml:space="preserve">Utiliser la relation : </w:t>
            </w:r>
            <m:oMath>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oMath>
          </w:p>
          <w:p w:rsidR="00C916CF" w:rsidRPr="00C916CF" w:rsidRDefault="00C916CF" w:rsidP="00780811">
            <w:pPr>
              <w:pStyle w:val="Stylepardfaut"/>
              <w:rPr>
                <w:rFonts w:ascii="Times New Roman" w:hAnsi="Times New Roman" w:cs="Times New Roman"/>
              </w:rPr>
            </w:pPr>
            <w:r>
              <w:rPr>
                <w:rFonts w:ascii="Times New Roman" w:hAnsi="Times New Roman" w:cs="Times New Roman"/>
              </w:rPr>
              <w:t>Recueillir et exploiter des informations sur les réactions nucléaires dans le domaine médical</w:t>
            </w:r>
          </w:p>
        </w:tc>
      </w:tr>
      <w:tr w:rsidR="00A774B2" w:rsidRPr="00C916CF" w:rsidTr="00C60002">
        <w:trPr>
          <w:cantSplit/>
          <w:trHeight w:val="493"/>
        </w:trPr>
        <w:tc>
          <w:tcPr>
            <w:tcW w:w="2405" w:type="dxa"/>
            <w:vMerge/>
            <w:tcBorders>
              <w:left w:val="single" w:sz="4" w:space="0" w:color="000001"/>
              <w:bottom w:val="single" w:sz="4" w:space="0" w:color="000001"/>
            </w:tcBorders>
            <w:shd w:val="clear" w:color="auto" w:fill="FFFFFF"/>
            <w:tcMar>
              <w:left w:w="65" w:type="dxa"/>
            </w:tcMar>
            <w:vAlign w:val="center"/>
          </w:tcPr>
          <w:p w:rsidR="00A774B2" w:rsidRPr="00C916CF" w:rsidRDefault="00A774B2" w:rsidP="00780811">
            <w:pPr>
              <w:pStyle w:val="Stylepardfaut"/>
              <w:spacing w:before="120" w:after="120"/>
              <w:jc w:val="center"/>
              <w:rPr>
                <w:rFonts w:ascii="Times New Roman" w:hAnsi="Times New Roman" w:cs="Times New Roman"/>
              </w:rPr>
            </w:pPr>
          </w:p>
        </w:tc>
        <w:tc>
          <w:tcPr>
            <w:tcW w:w="7724" w:type="dxa"/>
            <w:gridSpan w:val="2"/>
            <w:tcBorders>
              <w:left w:val="single" w:sz="4" w:space="0" w:color="000001"/>
              <w:bottom w:val="single" w:sz="4" w:space="0" w:color="000001"/>
              <w:right w:val="single" w:sz="4" w:space="0" w:color="000001"/>
            </w:tcBorders>
            <w:shd w:val="clear" w:color="auto" w:fill="FFFFFF"/>
            <w:tcMar>
              <w:left w:w="65" w:type="dxa"/>
            </w:tcMar>
          </w:tcPr>
          <w:p w:rsidR="00A774B2" w:rsidRPr="00C916CF" w:rsidRDefault="00A774B2" w:rsidP="00780811">
            <w:pPr>
              <w:pStyle w:val="Stylepardfaut"/>
              <w:spacing w:before="240"/>
              <w:jc w:val="center"/>
              <w:rPr>
                <w:rFonts w:ascii="Times New Roman" w:hAnsi="Times New Roman" w:cs="Times New Roman"/>
              </w:rPr>
            </w:pPr>
            <w:r w:rsidRPr="00C916CF">
              <w:rPr>
                <w:rFonts w:ascii="Times New Roman" w:hAnsi="Times New Roman" w:cs="Times New Roman"/>
                <w:b/>
              </w:rPr>
              <w:t>Compétences évaluées</w:t>
            </w:r>
          </w:p>
          <w:p w:rsidR="00A774B2" w:rsidRPr="00C916CF" w:rsidRDefault="000165F8" w:rsidP="00A774B2">
            <w:pPr>
              <w:pStyle w:val="Stylepardfaut"/>
              <w:numPr>
                <w:ilvl w:val="0"/>
                <w:numId w:val="8"/>
              </w:numPr>
              <w:spacing w:after="0" w:line="100" w:lineRule="atLeast"/>
              <w:rPr>
                <w:rFonts w:ascii="Times New Roman" w:hAnsi="Times New Roman" w:cs="Times New Roman"/>
              </w:rPr>
            </w:pPr>
            <w:r>
              <w:rPr>
                <w:rFonts w:ascii="Times New Roman" w:hAnsi="Times New Roman" w:cs="Times New Roman"/>
              </w:rPr>
              <w:t>APP </w:t>
            </w:r>
          </w:p>
          <w:p w:rsidR="00A774B2" w:rsidRPr="00C916CF" w:rsidRDefault="000165F8" w:rsidP="00A774B2">
            <w:pPr>
              <w:pStyle w:val="Stylepardfaut"/>
              <w:numPr>
                <w:ilvl w:val="0"/>
                <w:numId w:val="8"/>
              </w:numPr>
              <w:spacing w:after="0" w:line="100" w:lineRule="atLeast"/>
              <w:rPr>
                <w:rFonts w:ascii="Times New Roman" w:hAnsi="Times New Roman" w:cs="Times New Roman"/>
              </w:rPr>
            </w:pPr>
            <w:r>
              <w:rPr>
                <w:rFonts w:ascii="Times New Roman" w:hAnsi="Times New Roman" w:cs="Times New Roman"/>
              </w:rPr>
              <w:t>ANA </w:t>
            </w:r>
          </w:p>
          <w:p w:rsidR="00A774B2" w:rsidRPr="00C916CF" w:rsidRDefault="000165F8" w:rsidP="00A774B2">
            <w:pPr>
              <w:pStyle w:val="Stylepardfaut"/>
              <w:numPr>
                <w:ilvl w:val="0"/>
                <w:numId w:val="8"/>
              </w:numPr>
              <w:spacing w:after="0" w:line="100" w:lineRule="atLeast"/>
              <w:rPr>
                <w:rFonts w:ascii="Times New Roman" w:hAnsi="Times New Roman" w:cs="Times New Roman"/>
              </w:rPr>
            </w:pPr>
            <w:r>
              <w:rPr>
                <w:rFonts w:ascii="Times New Roman" w:hAnsi="Times New Roman" w:cs="Times New Roman"/>
              </w:rPr>
              <w:t>REA</w:t>
            </w:r>
          </w:p>
          <w:p w:rsidR="00A774B2" w:rsidRPr="00C916CF" w:rsidRDefault="000165F8" w:rsidP="00A774B2">
            <w:pPr>
              <w:pStyle w:val="Stylepardfaut"/>
              <w:numPr>
                <w:ilvl w:val="0"/>
                <w:numId w:val="8"/>
              </w:numPr>
              <w:spacing w:after="0" w:line="100" w:lineRule="atLeast"/>
              <w:rPr>
                <w:rFonts w:ascii="Times New Roman" w:hAnsi="Times New Roman" w:cs="Times New Roman"/>
              </w:rPr>
            </w:pPr>
            <w:r>
              <w:rPr>
                <w:rFonts w:ascii="Times New Roman" w:hAnsi="Times New Roman" w:cs="Times New Roman"/>
              </w:rPr>
              <w:t>VAL</w:t>
            </w:r>
          </w:p>
          <w:p w:rsidR="00A774B2" w:rsidRPr="00C916CF" w:rsidRDefault="00A774B2" w:rsidP="00780811">
            <w:pPr>
              <w:pStyle w:val="Stylepardfaut"/>
              <w:spacing w:after="0" w:line="100" w:lineRule="atLeast"/>
              <w:ind w:left="720"/>
              <w:rPr>
                <w:rFonts w:ascii="Times New Roman" w:hAnsi="Times New Roman" w:cs="Times New Roman"/>
              </w:rPr>
            </w:pPr>
          </w:p>
        </w:tc>
      </w:tr>
      <w:tr w:rsidR="00A774B2" w:rsidRPr="00C916CF" w:rsidTr="00C60002">
        <w:trPr>
          <w:cantSplit/>
          <w:trHeight w:val="373"/>
        </w:trPr>
        <w:tc>
          <w:tcPr>
            <w:tcW w:w="2405" w:type="dxa"/>
            <w:tcBorders>
              <w:top w:val="single" w:sz="4" w:space="0" w:color="000001"/>
              <w:left w:val="single" w:sz="4" w:space="0" w:color="000001"/>
              <w:bottom w:val="single" w:sz="4" w:space="0" w:color="000001"/>
            </w:tcBorders>
            <w:shd w:val="clear" w:color="auto" w:fill="FFFFFF"/>
            <w:tcMar>
              <w:left w:w="65" w:type="dxa"/>
            </w:tcMar>
          </w:tcPr>
          <w:p w:rsidR="00A774B2" w:rsidRPr="00C916CF" w:rsidRDefault="00A774B2" w:rsidP="007872F7">
            <w:pPr>
              <w:pStyle w:val="Stylepardfaut"/>
              <w:spacing w:after="0" w:line="240" w:lineRule="auto"/>
              <w:rPr>
                <w:rFonts w:ascii="Times New Roman" w:hAnsi="Times New Roman" w:cs="Times New Roman"/>
              </w:rPr>
            </w:pPr>
            <w:r w:rsidRPr="00C916CF">
              <w:rPr>
                <w:rFonts w:ascii="Times New Roman" w:hAnsi="Times New Roman" w:cs="Times New Roman"/>
                <w:b/>
                <w:bCs/>
                <w:i/>
              </w:rPr>
              <w:t>Commentaires sur l’exercice proposé</w:t>
            </w:r>
          </w:p>
        </w:tc>
        <w:tc>
          <w:tcPr>
            <w:tcW w:w="772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A774B2" w:rsidRPr="00C916CF" w:rsidRDefault="00A774B2" w:rsidP="007872F7">
            <w:pPr>
              <w:pStyle w:val="Retraitdecorpsdetexte"/>
              <w:tabs>
                <w:tab w:val="left" w:pos="-1702"/>
                <w:tab w:val="left" w:pos="1440"/>
              </w:tabs>
              <w:spacing w:after="0" w:line="240" w:lineRule="auto"/>
            </w:pPr>
            <w:r w:rsidRPr="00C916CF">
              <w:rPr>
                <w:iCs/>
                <w:sz w:val="22"/>
                <w:szCs w:val="22"/>
              </w:rPr>
              <w:t>Cette activité illustre le thème</w:t>
            </w:r>
          </w:p>
          <w:p w:rsidR="008966E1" w:rsidRPr="00C916CF" w:rsidRDefault="00A774B2" w:rsidP="007872F7">
            <w:pPr>
              <w:pStyle w:val="Retraitdecorpsdetexte"/>
              <w:tabs>
                <w:tab w:val="left" w:pos="-1702"/>
                <w:tab w:val="left" w:pos="1440"/>
              </w:tabs>
              <w:spacing w:after="0" w:line="240" w:lineRule="auto"/>
              <w:jc w:val="center"/>
            </w:pPr>
            <w:r w:rsidRPr="00C916CF">
              <w:rPr>
                <w:b/>
                <w:bCs/>
                <w:iCs/>
                <w:sz w:val="22"/>
                <w:szCs w:val="22"/>
              </w:rPr>
              <w:t>« </w:t>
            </w:r>
            <w:r w:rsidR="008966E1">
              <w:rPr>
                <w:b/>
                <w:bCs/>
                <w:iCs/>
                <w:sz w:val="22"/>
                <w:szCs w:val="22"/>
              </w:rPr>
              <w:t>COMPRENDRE</w:t>
            </w:r>
            <w:r w:rsidRPr="00C916CF">
              <w:rPr>
                <w:b/>
                <w:bCs/>
                <w:iCs/>
                <w:sz w:val="22"/>
                <w:szCs w:val="22"/>
              </w:rPr>
              <w:t> »</w:t>
            </w:r>
            <w:r w:rsidR="008966E1">
              <w:rPr>
                <w:b/>
                <w:bCs/>
                <w:iCs/>
                <w:sz w:val="22"/>
                <w:szCs w:val="22"/>
              </w:rPr>
              <w:t xml:space="preserve"> Lois et modèles</w:t>
            </w:r>
          </w:p>
          <w:p w:rsidR="008966E1" w:rsidRPr="00C916CF" w:rsidRDefault="008966E1" w:rsidP="007872F7">
            <w:pPr>
              <w:pStyle w:val="Retraitdecorpsdetexte"/>
              <w:tabs>
                <w:tab w:val="left" w:pos="-1702"/>
                <w:tab w:val="left" w:pos="1440"/>
              </w:tabs>
              <w:spacing w:after="0" w:line="240" w:lineRule="auto"/>
              <w:jc w:val="center"/>
            </w:pPr>
            <w:r w:rsidRPr="00C916CF">
              <w:rPr>
                <w:b/>
                <w:bCs/>
                <w:iCs/>
                <w:sz w:val="22"/>
                <w:szCs w:val="22"/>
              </w:rPr>
              <w:t>« </w:t>
            </w:r>
            <w:r>
              <w:rPr>
                <w:b/>
                <w:bCs/>
                <w:iCs/>
                <w:sz w:val="22"/>
                <w:szCs w:val="22"/>
              </w:rPr>
              <w:t>OBSERVER</w:t>
            </w:r>
            <w:r w:rsidRPr="00C916CF">
              <w:rPr>
                <w:b/>
                <w:bCs/>
                <w:iCs/>
                <w:sz w:val="22"/>
                <w:szCs w:val="22"/>
              </w:rPr>
              <w:t> »</w:t>
            </w:r>
            <w:r>
              <w:rPr>
                <w:b/>
                <w:bCs/>
                <w:iCs/>
                <w:sz w:val="22"/>
                <w:szCs w:val="22"/>
              </w:rPr>
              <w:t xml:space="preserve"> Couleurs et images</w:t>
            </w:r>
          </w:p>
          <w:p w:rsidR="00A774B2" w:rsidRPr="00C916CF" w:rsidRDefault="00A774B2" w:rsidP="007872F7">
            <w:pPr>
              <w:pStyle w:val="Retraitdecorpsdetexte"/>
              <w:tabs>
                <w:tab w:val="left" w:pos="-1702"/>
                <w:tab w:val="left" w:pos="1440"/>
              </w:tabs>
              <w:spacing w:after="0" w:line="240" w:lineRule="auto"/>
            </w:pPr>
            <w:r w:rsidRPr="00C916CF">
              <w:rPr>
                <w:bCs/>
                <w:iCs/>
                <w:sz w:val="22"/>
                <w:szCs w:val="22"/>
              </w:rPr>
              <w:t xml:space="preserve">et le sous thème </w:t>
            </w:r>
          </w:p>
          <w:p w:rsidR="008966E1" w:rsidRPr="00C916CF" w:rsidRDefault="008966E1" w:rsidP="007872F7">
            <w:pPr>
              <w:pStyle w:val="Retraitdecorpsdetexte"/>
              <w:tabs>
                <w:tab w:val="left" w:pos="-1702"/>
                <w:tab w:val="left" w:pos="1440"/>
              </w:tabs>
              <w:spacing w:after="0" w:line="240" w:lineRule="auto"/>
              <w:jc w:val="center"/>
            </w:pPr>
            <w:r>
              <w:rPr>
                <w:b/>
                <w:bCs/>
                <w:iCs/>
                <w:sz w:val="22"/>
                <w:szCs w:val="22"/>
              </w:rPr>
              <w:t>Cohésion et transformations de la matière</w:t>
            </w:r>
            <w:r w:rsidR="007872F7">
              <w:rPr>
                <w:b/>
                <w:bCs/>
                <w:iCs/>
                <w:sz w:val="22"/>
                <w:szCs w:val="22"/>
              </w:rPr>
              <w:t xml:space="preserve"> et </w:t>
            </w:r>
            <w:r>
              <w:rPr>
                <w:b/>
                <w:bCs/>
                <w:iCs/>
                <w:sz w:val="22"/>
                <w:szCs w:val="22"/>
              </w:rPr>
              <w:t>Sources de lumière colorée</w:t>
            </w:r>
          </w:p>
          <w:p w:rsidR="00A774B2" w:rsidRPr="00C916CF" w:rsidRDefault="00A774B2" w:rsidP="007872F7">
            <w:pPr>
              <w:pStyle w:val="Stylepardfaut"/>
              <w:spacing w:after="0" w:line="240" w:lineRule="auto"/>
              <w:rPr>
                <w:rFonts w:ascii="Times New Roman" w:hAnsi="Times New Roman" w:cs="Times New Roman"/>
              </w:rPr>
            </w:pPr>
            <w:r w:rsidRPr="00C916CF">
              <w:rPr>
                <w:rFonts w:ascii="Times New Roman" w:hAnsi="Times New Roman" w:cs="Times New Roman"/>
                <w:b/>
                <w:bCs/>
                <w:iCs/>
              </w:rPr>
              <w:t xml:space="preserve">    </w:t>
            </w:r>
            <w:r w:rsidRPr="00C916CF">
              <w:rPr>
                <w:rFonts w:ascii="Times New Roman" w:hAnsi="Times New Roman" w:cs="Times New Roman"/>
                <w:iCs/>
              </w:rPr>
              <w:t>en classe de première S.</w:t>
            </w:r>
          </w:p>
        </w:tc>
      </w:tr>
      <w:tr w:rsidR="00A774B2" w:rsidRPr="00C916CF" w:rsidTr="00C60002">
        <w:trPr>
          <w:cantSplit/>
          <w:trHeight w:val="373"/>
        </w:trPr>
        <w:tc>
          <w:tcPr>
            <w:tcW w:w="2405" w:type="dxa"/>
            <w:tcBorders>
              <w:top w:val="single" w:sz="4" w:space="0" w:color="000001"/>
              <w:left w:val="single" w:sz="4" w:space="0" w:color="000001"/>
              <w:bottom w:val="single" w:sz="4" w:space="0" w:color="000001"/>
            </w:tcBorders>
            <w:shd w:val="clear" w:color="auto" w:fill="FFFFFF"/>
            <w:tcMar>
              <w:left w:w="65" w:type="dxa"/>
            </w:tcMar>
            <w:vAlign w:val="center"/>
          </w:tcPr>
          <w:p w:rsidR="00A774B2" w:rsidRPr="00C916CF" w:rsidRDefault="00A774B2" w:rsidP="00780811">
            <w:pPr>
              <w:pStyle w:val="Stylepardfaut"/>
              <w:spacing w:before="120" w:after="120"/>
              <w:jc w:val="center"/>
              <w:rPr>
                <w:rFonts w:ascii="Times New Roman" w:hAnsi="Times New Roman" w:cs="Times New Roman"/>
              </w:rPr>
            </w:pPr>
            <w:r w:rsidRPr="00C916CF">
              <w:rPr>
                <w:rFonts w:ascii="Times New Roman" w:hAnsi="Times New Roman" w:cs="Times New Roman"/>
                <w:b/>
                <w:i/>
              </w:rPr>
              <w:t xml:space="preserve">Conditions de mise en œuvre </w:t>
            </w:r>
          </w:p>
        </w:tc>
        <w:tc>
          <w:tcPr>
            <w:tcW w:w="772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A774B2" w:rsidRPr="00C916CF" w:rsidRDefault="00A774B2" w:rsidP="00780811">
            <w:pPr>
              <w:pStyle w:val="Pieddepage"/>
            </w:pPr>
          </w:p>
          <w:p w:rsidR="00A774B2" w:rsidRPr="00C916CF" w:rsidRDefault="00A774B2" w:rsidP="00780811">
            <w:pPr>
              <w:pStyle w:val="Pieddepage"/>
            </w:pPr>
            <w:r w:rsidRPr="00C916CF">
              <w:rPr>
                <w:sz w:val="22"/>
                <w:szCs w:val="22"/>
              </w:rPr>
              <w:t>Durée : 1</w:t>
            </w:r>
            <w:r w:rsidR="008966E1">
              <w:rPr>
                <w:sz w:val="22"/>
                <w:szCs w:val="22"/>
              </w:rPr>
              <w:t xml:space="preserve">,5  </w:t>
            </w:r>
            <w:r w:rsidRPr="00C916CF">
              <w:rPr>
                <w:sz w:val="22"/>
                <w:szCs w:val="22"/>
              </w:rPr>
              <w:t>h</w:t>
            </w:r>
            <w:r w:rsidR="008966E1">
              <w:rPr>
                <w:sz w:val="22"/>
                <w:szCs w:val="22"/>
              </w:rPr>
              <w:t xml:space="preserve"> en demi-classe</w:t>
            </w:r>
          </w:p>
          <w:p w:rsidR="00A774B2" w:rsidRPr="00C916CF" w:rsidRDefault="00A774B2" w:rsidP="00780811">
            <w:pPr>
              <w:pStyle w:val="Pieddepage"/>
            </w:pPr>
          </w:p>
        </w:tc>
      </w:tr>
      <w:tr w:rsidR="00A774B2" w:rsidRPr="00C916CF" w:rsidTr="00C60002">
        <w:trPr>
          <w:cantSplit/>
          <w:trHeight w:val="373"/>
        </w:trPr>
        <w:tc>
          <w:tcPr>
            <w:tcW w:w="2405" w:type="dxa"/>
            <w:tcBorders>
              <w:left w:val="single" w:sz="4" w:space="0" w:color="000001"/>
              <w:bottom w:val="single" w:sz="4" w:space="0" w:color="000001"/>
            </w:tcBorders>
            <w:shd w:val="clear" w:color="auto" w:fill="FFFFFF"/>
            <w:tcMar>
              <w:left w:w="65" w:type="dxa"/>
            </w:tcMar>
            <w:vAlign w:val="center"/>
          </w:tcPr>
          <w:p w:rsidR="00A774B2" w:rsidRPr="00C916CF" w:rsidRDefault="00A774B2" w:rsidP="00780811">
            <w:pPr>
              <w:pStyle w:val="Stylepardfaut"/>
              <w:spacing w:before="120" w:after="120"/>
              <w:jc w:val="center"/>
              <w:rPr>
                <w:rFonts w:ascii="Times New Roman" w:hAnsi="Times New Roman" w:cs="Times New Roman"/>
              </w:rPr>
            </w:pPr>
            <w:r w:rsidRPr="00C916CF">
              <w:rPr>
                <w:rFonts w:ascii="Times New Roman" w:hAnsi="Times New Roman" w:cs="Times New Roman"/>
                <w:b/>
                <w:i/>
              </w:rPr>
              <w:t>Pré requis</w:t>
            </w:r>
          </w:p>
        </w:tc>
        <w:tc>
          <w:tcPr>
            <w:tcW w:w="7724" w:type="dxa"/>
            <w:gridSpan w:val="2"/>
            <w:tcBorders>
              <w:left w:val="single" w:sz="4" w:space="0" w:color="000001"/>
              <w:bottom w:val="single" w:sz="4" w:space="0" w:color="000001"/>
              <w:right w:val="single" w:sz="4" w:space="0" w:color="000001"/>
            </w:tcBorders>
            <w:shd w:val="clear" w:color="auto" w:fill="FFFFFF"/>
            <w:tcMar>
              <w:left w:w="65" w:type="dxa"/>
            </w:tcMar>
          </w:tcPr>
          <w:p w:rsidR="008966E1" w:rsidRPr="00C916CF" w:rsidRDefault="00A774B2" w:rsidP="008966E1">
            <w:pPr>
              <w:pStyle w:val="Stylepardfaut"/>
              <w:rPr>
                <w:rFonts w:ascii="Times New Roman" w:hAnsi="Times New Roman" w:cs="Times New Roman"/>
              </w:rPr>
            </w:pPr>
            <w:r w:rsidRPr="00C916CF">
              <w:rPr>
                <w:rFonts w:ascii="Times New Roman" w:hAnsi="Times New Roman" w:cs="Times New Roman"/>
                <w:bCs/>
              </w:rPr>
              <w:t xml:space="preserve"> </w:t>
            </w:r>
            <w:r w:rsidR="008966E1">
              <w:rPr>
                <w:rFonts w:ascii="Times New Roman" w:hAnsi="Times New Roman" w:cs="Times New Roman"/>
                <w:bCs/>
              </w:rPr>
              <w:t>Utiliser les lois de conservation pour écrire une réaction nucléaire.</w:t>
            </w:r>
          </w:p>
          <w:p w:rsidR="00A774B2" w:rsidRPr="00C916CF" w:rsidRDefault="008966E1" w:rsidP="008966E1">
            <w:pPr>
              <w:pStyle w:val="Stylepardfaut"/>
              <w:rPr>
                <w:rFonts w:ascii="Times New Roman" w:hAnsi="Times New Roman" w:cs="Times New Roman"/>
              </w:rPr>
            </w:pPr>
            <w:r>
              <w:rPr>
                <w:rFonts w:ascii="Times New Roman" w:hAnsi="Times New Roman" w:cs="Times New Roman"/>
              </w:rPr>
              <w:t xml:space="preserve">Utiliser la relation : </w:t>
            </w:r>
            <m:oMath>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oMath>
          </w:p>
        </w:tc>
      </w:tr>
      <w:tr w:rsidR="00A774B2" w:rsidRPr="00C916CF" w:rsidTr="00C60002">
        <w:trPr>
          <w:cantSplit/>
          <w:trHeight w:val="253"/>
        </w:trPr>
        <w:tc>
          <w:tcPr>
            <w:tcW w:w="2405" w:type="dxa"/>
            <w:tcBorders>
              <w:left w:val="single" w:sz="4" w:space="0" w:color="000001"/>
              <w:bottom w:val="single" w:sz="4" w:space="0" w:color="000001"/>
            </w:tcBorders>
            <w:shd w:val="clear" w:color="auto" w:fill="FFFFFF"/>
            <w:tcMar>
              <w:left w:w="65" w:type="dxa"/>
            </w:tcMar>
            <w:vAlign w:val="center"/>
          </w:tcPr>
          <w:p w:rsidR="00A774B2" w:rsidRPr="00C60002" w:rsidRDefault="00A774B2" w:rsidP="00780811">
            <w:pPr>
              <w:pStyle w:val="Titre1"/>
              <w:rPr>
                <w:rFonts w:ascii="Times New Roman" w:hAnsi="Times New Roman"/>
                <w:b/>
              </w:rPr>
            </w:pPr>
            <w:r w:rsidRPr="00C60002">
              <w:rPr>
                <w:rFonts w:ascii="Times New Roman" w:hAnsi="Times New Roman"/>
                <w:b/>
                <w:i/>
                <w:sz w:val="22"/>
                <w:szCs w:val="22"/>
              </w:rPr>
              <w:t>Remarques</w:t>
            </w:r>
          </w:p>
          <w:p w:rsidR="00A774B2" w:rsidRPr="00C916CF" w:rsidRDefault="00A774B2" w:rsidP="00780811">
            <w:pPr>
              <w:pStyle w:val="Titre1"/>
              <w:rPr>
                <w:rFonts w:ascii="Times New Roman" w:hAnsi="Times New Roman"/>
              </w:rPr>
            </w:pPr>
          </w:p>
        </w:tc>
        <w:tc>
          <w:tcPr>
            <w:tcW w:w="7724" w:type="dxa"/>
            <w:gridSpan w:val="2"/>
            <w:tcBorders>
              <w:left w:val="single" w:sz="4" w:space="0" w:color="000001"/>
              <w:bottom w:val="single" w:sz="4" w:space="0" w:color="000001"/>
              <w:right w:val="single" w:sz="4" w:space="0" w:color="000001"/>
            </w:tcBorders>
            <w:shd w:val="clear" w:color="auto" w:fill="FFFFFF"/>
            <w:tcMar>
              <w:left w:w="65" w:type="dxa"/>
            </w:tcMar>
          </w:tcPr>
          <w:p w:rsidR="00A774B2" w:rsidRPr="00C916CF" w:rsidRDefault="00A774B2" w:rsidP="007872F7">
            <w:pPr>
              <w:pStyle w:val="Stylepardfaut"/>
              <w:spacing w:after="0"/>
              <w:jc w:val="both"/>
              <w:rPr>
                <w:rFonts w:ascii="Times New Roman" w:hAnsi="Times New Roman" w:cs="Times New Roman"/>
              </w:rPr>
            </w:pPr>
            <w:r w:rsidRPr="00C916CF">
              <w:rPr>
                <w:rFonts w:ascii="Times New Roman" w:hAnsi="Times New Roman" w:cs="Times New Roman"/>
              </w:rPr>
              <w:t>Cette activité peut être donnée en séance d’accompagnement personnalisé.</w:t>
            </w:r>
          </w:p>
          <w:p w:rsidR="00A774B2" w:rsidRPr="00C916CF" w:rsidRDefault="00A774B2" w:rsidP="007872F7">
            <w:pPr>
              <w:pStyle w:val="Stylepardfaut"/>
              <w:spacing w:after="0"/>
              <w:jc w:val="both"/>
              <w:rPr>
                <w:rFonts w:ascii="Times New Roman" w:hAnsi="Times New Roman" w:cs="Times New Roman"/>
              </w:rPr>
            </w:pPr>
            <w:r w:rsidRPr="00C916CF">
              <w:rPr>
                <w:rFonts w:ascii="Times New Roman" w:hAnsi="Times New Roman" w:cs="Times New Roman"/>
              </w:rPr>
              <w:t>Les élèves peuvent travailler à deux dans un premier temps.</w:t>
            </w:r>
          </w:p>
        </w:tc>
      </w:tr>
    </w:tbl>
    <w:p w:rsidR="00A774B2" w:rsidRDefault="00A774B2" w:rsidP="00A774B2">
      <w:pPr>
        <w:pStyle w:val="Stylepardfaut"/>
      </w:pPr>
    </w:p>
    <w:p w:rsidR="00A774B2" w:rsidRDefault="00A774B2" w:rsidP="00A774B2">
      <w:pPr>
        <w:pStyle w:val="Stylepardfaut"/>
      </w:pPr>
    </w:p>
    <w:p w:rsidR="00A774B2" w:rsidRDefault="00A774B2" w:rsidP="007872F7">
      <w:pPr>
        <w:rPr>
          <w:rFonts w:ascii="Comic Sans MS" w:hAnsi="Comic Sans MS"/>
          <w:sz w:val="18"/>
          <w:szCs w:val="18"/>
        </w:rPr>
      </w:pPr>
    </w:p>
    <w:p w:rsidR="00A774B2" w:rsidRDefault="00A774B2" w:rsidP="007872F7">
      <w:pPr>
        <w:rPr>
          <w:rFonts w:ascii="Comic Sans MS" w:hAnsi="Comic Sans MS"/>
          <w:sz w:val="18"/>
          <w:szCs w:val="18"/>
        </w:rPr>
      </w:pPr>
    </w:p>
    <w:p w:rsidR="00A774B2" w:rsidRDefault="00A774B2" w:rsidP="007872F7">
      <w:pPr>
        <w:rPr>
          <w:rFonts w:ascii="Comic Sans MS" w:hAnsi="Comic Sans MS"/>
          <w:sz w:val="18"/>
          <w:szCs w:val="18"/>
        </w:rPr>
      </w:pPr>
    </w:p>
    <w:p w:rsidR="00A774B2" w:rsidRDefault="00A774B2" w:rsidP="006C2126">
      <w:pPr>
        <w:pBdr>
          <w:bottom w:val="single" w:sz="4" w:space="1" w:color="auto"/>
        </w:pBdr>
        <w:rPr>
          <w:rFonts w:ascii="Comic Sans MS" w:hAnsi="Comic Sans MS"/>
          <w:sz w:val="18"/>
          <w:szCs w:val="18"/>
        </w:rPr>
      </w:pPr>
    </w:p>
    <w:p w:rsidR="00A774B2" w:rsidRDefault="00A774B2" w:rsidP="00C60002">
      <w:pPr>
        <w:pStyle w:val="Stylepardfaut"/>
        <w:jc w:val="both"/>
        <w:rPr>
          <w:rFonts w:ascii="Arial" w:hAnsi="Arial" w:cs="Arial"/>
          <w:b/>
          <w:sz w:val="28"/>
        </w:rPr>
      </w:pPr>
      <w:r>
        <w:rPr>
          <w:rFonts w:ascii="Arial" w:hAnsi="Arial" w:cs="Arial"/>
          <w:b/>
          <w:sz w:val="28"/>
        </w:rPr>
        <w:lastRenderedPageBreak/>
        <w:t>FICHE 2            Documents élèves</w:t>
      </w:r>
    </w:p>
    <w:p w:rsidR="00C60002" w:rsidRDefault="00C60002" w:rsidP="00C60002">
      <w:pPr>
        <w:pStyle w:val="Stylepardfaut"/>
        <w:jc w:val="center"/>
      </w:pPr>
      <w:r>
        <w:rPr>
          <w:rFonts w:ascii="Arial" w:hAnsi="Arial" w:cs="Arial"/>
          <w:b/>
          <w:bCs/>
          <w:sz w:val="28"/>
        </w:rPr>
        <w:t>1S 21</w:t>
      </w:r>
    </w:p>
    <w:p w:rsidR="00C60002" w:rsidRPr="006A7BF5" w:rsidRDefault="00C60002" w:rsidP="00C60002">
      <w:pPr>
        <w:spacing w:after="120"/>
        <w:jc w:val="center"/>
        <w:rPr>
          <w:rFonts w:ascii="Arial" w:hAnsi="Arial" w:cs="Arial"/>
          <w:b/>
          <w:sz w:val="28"/>
          <w:szCs w:val="18"/>
        </w:rPr>
      </w:pPr>
      <w:r w:rsidRPr="006A7BF5">
        <w:rPr>
          <w:rFonts w:ascii="Arial" w:hAnsi="Arial" w:cs="Arial"/>
          <w:b/>
          <w:sz w:val="28"/>
          <w:szCs w:val="18"/>
        </w:rPr>
        <w:t>THYROÏDE ET IODOTHÉRAPIE</w:t>
      </w:r>
    </w:p>
    <w:p w:rsidR="00C916CF" w:rsidRPr="00162562" w:rsidRDefault="00C916CF" w:rsidP="006C2126">
      <w:pPr>
        <w:rPr>
          <w:rFonts w:ascii="Comic Sans MS" w:hAnsi="Comic Sans MS"/>
          <w:sz w:val="18"/>
          <w:szCs w:val="18"/>
        </w:rPr>
      </w:pPr>
    </w:p>
    <w:p w:rsidR="009E7F54" w:rsidRPr="00C916CF" w:rsidRDefault="009E7F54" w:rsidP="009E7F54">
      <w:pPr>
        <w:pStyle w:val="Titre1"/>
        <w:shd w:val="clear" w:color="auto" w:fill="FFFFFF" w:themeFill="background1"/>
        <w:tabs>
          <w:tab w:val="clear" w:pos="851"/>
          <w:tab w:val="left" w:pos="-2127"/>
          <w:tab w:val="left" w:pos="-1506"/>
        </w:tabs>
        <w:ind w:right="4959"/>
        <w:rPr>
          <w:rFonts w:cs="Arial"/>
          <w:sz w:val="18"/>
          <w:szCs w:val="18"/>
        </w:rPr>
      </w:pPr>
    </w:p>
    <w:p w:rsidR="009376AE" w:rsidRPr="00C60002" w:rsidRDefault="00572A14" w:rsidP="009376A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color w:val="000000"/>
          <w:szCs w:val="18"/>
        </w:rPr>
      </w:pPr>
      <w:r w:rsidRPr="00C60002">
        <w:rPr>
          <w:rFonts w:ascii="Arial" w:hAnsi="Arial" w:cs="Arial"/>
          <w:b/>
          <w:color w:val="000000"/>
          <w:szCs w:val="18"/>
          <w:u w:val="single"/>
        </w:rPr>
        <w:t>Problème</w:t>
      </w:r>
      <w:r w:rsidRPr="00C60002">
        <w:rPr>
          <w:rFonts w:ascii="Arial" w:hAnsi="Arial" w:cs="Arial"/>
          <w:b/>
          <w:color w:val="000000"/>
          <w:szCs w:val="18"/>
        </w:rPr>
        <w:t> :</w:t>
      </w:r>
    </w:p>
    <w:p w:rsidR="00572A14" w:rsidRPr="00C60002" w:rsidRDefault="00C6493E" w:rsidP="009376A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Cs w:val="18"/>
        </w:rPr>
      </w:pPr>
      <w:r w:rsidRPr="00C60002">
        <w:rPr>
          <w:rFonts w:ascii="Arial" w:hAnsi="Arial" w:cs="Arial"/>
          <w:b/>
          <w:color w:val="000000"/>
          <w:szCs w:val="18"/>
        </w:rPr>
        <w:t>Montrer que</w:t>
      </w:r>
      <w:r w:rsidR="006118B0" w:rsidRPr="00C60002">
        <w:rPr>
          <w:rFonts w:ascii="Arial" w:hAnsi="Arial" w:cs="Arial"/>
          <w:b/>
          <w:color w:val="000000"/>
          <w:szCs w:val="18"/>
        </w:rPr>
        <w:t xml:space="preserve"> le traitement par l’iode radioactif permet de</w:t>
      </w:r>
      <w:r w:rsidR="00572A14" w:rsidRPr="00C60002">
        <w:rPr>
          <w:rFonts w:ascii="Arial" w:hAnsi="Arial" w:cs="Arial"/>
          <w:b/>
          <w:color w:val="000000"/>
          <w:szCs w:val="18"/>
        </w:rPr>
        <w:t xml:space="preserve"> d</w:t>
      </w:r>
      <w:r w:rsidR="006118B0" w:rsidRPr="00C60002">
        <w:rPr>
          <w:rFonts w:ascii="Arial" w:hAnsi="Arial" w:cs="Arial"/>
          <w:b/>
          <w:color w:val="000000"/>
          <w:szCs w:val="18"/>
        </w:rPr>
        <w:t>étruire</w:t>
      </w:r>
      <w:r w:rsidR="00572A14" w:rsidRPr="00C60002">
        <w:rPr>
          <w:rFonts w:ascii="Arial" w:hAnsi="Arial" w:cs="Arial"/>
          <w:b/>
          <w:color w:val="000000"/>
          <w:szCs w:val="18"/>
        </w:rPr>
        <w:t xml:space="preserve"> </w:t>
      </w:r>
      <w:r w:rsidR="006118B0" w:rsidRPr="00C60002">
        <w:rPr>
          <w:rFonts w:ascii="Arial" w:hAnsi="Arial" w:cs="Arial"/>
          <w:b/>
          <w:color w:val="000000"/>
          <w:szCs w:val="18"/>
        </w:rPr>
        <w:t>l</w:t>
      </w:r>
      <w:r w:rsidR="00572A14" w:rsidRPr="00C60002">
        <w:rPr>
          <w:rFonts w:ascii="Arial" w:hAnsi="Arial" w:cs="Arial"/>
          <w:b/>
          <w:color w:val="000000"/>
          <w:szCs w:val="18"/>
        </w:rPr>
        <w:t xml:space="preserve">es cellules thyroïdiennes et uniquement </w:t>
      </w:r>
      <w:r w:rsidR="00F762E1" w:rsidRPr="00C60002">
        <w:rPr>
          <w:rFonts w:ascii="Arial" w:hAnsi="Arial" w:cs="Arial"/>
          <w:b/>
          <w:color w:val="000000"/>
          <w:szCs w:val="18"/>
        </w:rPr>
        <w:t>c</w:t>
      </w:r>
      <w:r w:rsidR="00572A14" w:rsidRPr="00C60002">
        <w:rPr>
          <w:rFonts w:ascii="Arial" w:hAnsi="Arial" w:cs="Arial"/>
          <w:b/>
          <w:color w:val="000000"/>
          <w:szCs w:val="18"/>
        </w:rPr>
        <w:t>elles</w:t>
      </w:r>
      <w:r w:rsidR="00F762E1" w:rsidRPr="00C60002">
        <w:rPr>
          <w:rFonts w:ascii="Arial" w:hAnsi="Arial" w:cs="Arial"/>
          <w:b/>
          <w:color w:val="000000"/>
          <w:szCs w:val="18"/>
        </w:rPr>
        <w:t>-ci</w:t>
      </w:r>
      <w:r w:rsidR="00D60C6F" w:rsidRPr="00C60002">
        <w:rPr>
          <w:rFonts w:ascii="Arial" w:hAnsi="Arial" w:cs="Arial"/>
          <w:b/>
          <w:color w:val="000000"/>
          <w:szCs w:val="18"/>
        </w:rPr>
        <w:t>.</w:t>
      </w:r>
    </w:p>
    <w:p w:rsidR="009376AE" w:rsidRPr="00C916CF" w:rsidRDefault="009376AE" w:rsidP="009376A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p>
    <w:p w:rsidR="009376AE" w:rsidRPr="00C916CF" w:rsidRDefault="009376AE" w:rsidP="00F762E1">
      <w:pPr>
        <w:autoSpaceDE w:val="0"/>
        <w:autoSpaceDN w:val="0"/>
        <w:adjustRightInd w:val="0"/>
        <w:rPr>
          <w:rFonts w:ascii="Arial" w:hAnsi="Arial" w:cs="Arial"/>
          <w:color w:val="000000"/>
          <w:sz w:val="18"/>
          <w:szCs w:val="18"/>
          <w:u w:val="single"/>
        </w:rPr>
      </w:pPr>
    </w:p>
    <w:p w:rsidR="00572A14" w:rsidRPr="00C60002" w:rsidRDefault="00572A14" w:rsidP="00F762E1">
      <w:pPr>
        <w:autoSpaceDE w:val="0"/>
        <w:autoSpaceDN w:val="0"/>
        <w:adjustRightInd w:val="0"/>
        <w:rPr>
          <w:rFonts w:ascii="Arial" w:hAnsi="Arial" w:cs="Arial"/>
          <w:b/>
          <w:color w:val="000000"/>
          <w:sz w:val="18"/>
          <w:szCs w:val="18"/>
        </w:rPr>
      </w:pPr>
      <w:r w:rsidRPr="00C60002">
        <w:rPr>
          <w:rFonts w:ascii="Arial" w:hAnsi="Arial" w:cs="Arial"/>
          <w:b/>
          <w:color w:val="000000"/>
          <w:sz w:val="18"/>
          <w:szCs w:val="18"/>
          <w:u w:val="single"/>
        </w:rPr>
        <w:t>Questions préliminaires</w:t>
      </w:r>
      <w:r w:rsidRPr="00C60002">
        <w:rPr>
          <w:rFonts w:ascii="Arial" w:hAnsi="Arial" w:cs="Arial"/>
          <w:b/>
          <w:color w:val="000000"/>
          <w:sz w:val="18"/>
          <w:szCs w:val="18"/>
        </w:rPr>
        <w:t> :</w:t>
      </w:r>
    </w:p>
    <w:p w:rsidR="00F762E1" w:rsidRPr="00C916CF" w:rsidRDefault="00F762E1" w:rsidP="00F762E1">
      <w:pPr>
        <w:autoSpaceDE w:val="0"/>
        <w:autoSpaceDN w:val="0"/>
        <w:adjustRightInd w:val="0"/>
        <w:rPr>
          <w:rFonts w:ascii="Arial" w:hAnsi="Arial" w:cs="Arial"/>
          <w:color w:val="000000"/>
          <w:sz w:val="18"/>
          <w:szCs w:val="18"/>
        </w:rPr>
      </w:pPr>
    </w:p>
    <w:p w:rsidR="00572A14" w:rsidRPr="00C916CF" w:rsidRDefault="00C6493E" w:rsidP="00F762E1">
      <w:pPr>
        <w:pStyle w:val="Paragraphedeliste"/>
        <w:numPr>
          <w:ilvl w:val="0"/>
          <w:numId w:val="4"/>
        </w:numPr>
        <w:autoSpaceDE w:val="0"/>
        <w:autoSpaceDN w:val="0"/>
        <w:adjustRightInd w:val="0"/>
        <w:jc w:val="both"/>
        <w:rPr>
          <w:rFonts w:ascii="Arial" w:hAnsi="Arial" w:cs="Arial"/>
          <w:color w:val="000000"/>
          <w:sz w:val="18"/>
          <w:szCs w:val="18"/>
        </w:rPr>
      </w:pPr>
      <w:r w:rsidRPr="00C916CF">
        <w:rPr>
          <w:rFonts w:ascii="Arial" w:hAnsi="Arial" w:cs="Arial"/>
          <w:color w:val="000000"/>
          <w:sz w:val="18"/>
          <w:szCs w:val="18"/>
        </w:rPr>
        <w:t>Écrire</w:t>
      </w:r>
      <w:r w:rsidR="00572A14" w:rsidRPr="00C916CF">
        <w:rPr>
          <w:rFonts w:ascii="Arial" w:hAnsi="Arial" w:cs="Arial"/>
          <w:color w:val="000000"/>
          <w:sz w:val="18"/>
          <w:szCs w:val="18"/>
        </w:rPr>
        <w:t xml:space="preserve"> l’équation de </w:t>
      </w:r>
      <w:r w:rsidRPr="00C916CF">
        <w:rPr>
          <w:rFonts w:ascii="Arial" w:hAnsi="Arial" w:cs="Arial"/>
          <w:color w:val="000000"/>
          <w:sz w:val="18"/>
          <w:szCs w:val="18"/>
        </w:rPr>
        <w:t>l</w:t>
      </w:r>
      <w:r w:rsidR="00572A14" w:rsidRPr="00C916CF">
        <w:rPr>
          <w:rFonts w:ascii="Arial" w:hAnsi="Arial" w:cs="Arial"/>
          <w:color w:val="000000"/>
          <w:sz w:val="18"/>
          <w:szCs w:val="18"/>
        </w:rPr>
        <w:t>a désintégration</w:t>
      </w:r>
      <w:r w:rsidRPr="00C916CF">
        <w:rPr>
          <w:rFonts w:ascii="Arial" w:hAnsi="Arial" w:cs="Arial"/>
          <w:color w:val="000000"/>
          <w:sz w:val="18"/>
          <w:szCs w:val="18"/>
        </w:rPr>
        <w:t xml:space="preserve"> de l’isotope de l’iode utilisé pour traiter la thyroïde.</w:t>
      </w:r>
    </w:p>
    <w:p w:rsidR="008F02AA" w:rsidRPr="00C916CF" w:rsidRDefault="001E2ACF" w:rsidP="008F02AA">
      <w:pPr>
        <w:pStyle w:val="Paragraphedeliste"/>
        <w:numPr>
          <w:ilvl w:val="0"/>
          <w:numId w:val="4"/>
        </w:numPr>
        <w:suppressAutoHyphens/>
        <w:spacing w:line="100" w:lineRule="atLeast"/>
        <w:jc w:val="both"/>
        <w:rPr>
          <w:rFonts w:ascii="Arial" w:hAnsi="Arial" w:cs="Arial"/>
          <w:color w:val="000000"/>
          <w:sz w:val="18"/>
          <w:szCs w:val="18"/>
        </w:rPr>
      </w:pPr>
      <w:r>
        <w:rPr>
          <w:rFonts w:ascii="Arial" w:hAnsi="Arial" w:cs="Arial"/>
          <w:color w:val="000000"/>
          <w:sz w:val="18"/>
          <w:szCs w:val="18"/>
        </w:rPr>
        <w:t>I</w:t>
      </w:r>
      <w:r w:rsidR="008F02AA" w:rsidRPr="00C916CF">
        <w:rPr>
          <w:rFonts w:ascii="Arial" w:hAnsi="Arial" w:cs="Arial"/>
          <w:color w:val="000000"/>
          <w:sz w:val="18"/>
          <w:szCs w:val="18"/>
        </w:rPr>
        <w:t>dentifier la nature du rayonnement émis et justifier alors les précautions prises lors de</w:t>
      </w:r>
      <w:r>
        <w:rPr>
          <w:rFonts w:ascii="Arial" w:hAnsi="Arial" w:cs="Arial"/>
          <w:color w:val="000000"/>
          <w:sz w:val="18"/>
          <w:szCs w:val="18"/>
        </w:rPr>
        <w:t xml:space="preserve"> l’administration du traitement et le justifier à l’aide d’</w:t>
      </w:r>
      <w:r w:rsidRPr="00C916CF">
        <w:rPr>
          <w:rFonts w:ascii="Arial" w:hAnsi="Arial" w:cs="Arial"/>
          <w:color w:val="000000"/>
          <w:sz w:val="18"/>
          <w:szCs w:val="18"/>
        </w:rPr>
        <w:t>un calcul,</w:t>
      </w:r>
    </w:p>
    <w:p w:rsidR="00F762E1" w:rsidRPr="00C916CF" w:rsidRDefault="00F762E1" w:rsidP="00F762E1">
      <w:pPr>
        <w:autoSpaceDE w:val="0"/>
        <w:autoSpaceDN w:val="0"/>
        <w:adjustRightInd w:val="0"/>
        <w:ind w:left="360"/>
        <w:jc w:val="both"/>
        <w:rPr>
          <w:rFonts w:ascii="Arial" w:hAnsi="Arial" w:cs="Arial"/>
          <w:color w:val="000000"/>
          <w:sz w:val="18"/>
          <w:szCs w:val="18"/>
        </w:rPr>
      </w:pPr>
    </w:p>
    <w:p w:rsidR="00F762E1" w:rsidRPr="00C916CF" w:rsidRDefault="00F762E1" w:rsidP="00F762E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18"/>
          <w:szCs w:val="18"/>
        </w:rPr>
      </w:pPr>
      <w:r w:rsidRPr="00C916CF">
        <w:rPr>
          <w:rFonts w:ascii="Arial" w:hAnsi="Arial" w:cs="Arial"/>
          <w:color w:val="000000"/>
          <w:sz w:val="18"/>
          <w:szCs w:val="18"/>
        </w:rPr>
        <w:t>DOCUMENTS</w:t>
      </w:r>
    </w:p>
    <w:p w:rsidR="009E7F54" w:rsidRPr="00C916CF" w:rsidRDefault="009E7F54" w:rsidP="009E7F54">
      <w:pPr>
        <w:keepNext/>
        <w:outlineLvl w:val="1"/>
        <w:rPr>
          <w:rFonts w:ascii="Arial" w:hAnsi="Arial" w:cs="Arial"/>
          <w:bCs/>
          <w:sz w:val="18"/>
          <w:szCs w:val="18"/>
          <w:u w:val="single"/>
        </w:rPr>
      </w:pPr>
    </w:p>
    <w:p w:rsidR="009E7F54" w:rsidRPr="00C916CF" w:rsidRDefault="009E7F54" w:rsidP="006C2126">
      <w:pPr>
        <w:pBdr>
          <w:bottom w:val="single" w:sz="4" w:space="1" w:color="auto"/>
        </w:pBdr>
        <w:spacing w:after="200"/>
        <w:rPr>
          <w:rFonts w:ascii="Arial" w:hAnsi="Arial" w:cs="Arial"/>
          <w:sz w:val="18"/>
          <w:szCs w:val="18"/>
        </w:rPr>
      </w:pPr>
      <w:r w:rsidRPr="00C916CF">
        <w:rPr>
          <w:rFonts w:ascii="Arial" w:hAnsi="Arial" w:cs="Arial"/>
          <w:b/>
          <w:sz w:val="18"/>
          <w:szCs w:val="18"/>
        </w:rPr>
        <w:t>La thyroïde</w:t>
      </w:r>
      <w:r w:rsidR="006C2126" w:rsidRPr="00C916CF">
        <w:rPr>
          <w:rFonts w:ascii="Arial" w:hAnsi="Arial" w:cs="Arial"/>
          <w:sz w:val="18"/>
          <w:szCs w:val="18"/>
        </w:rPr>
        <w:t> :</w:t>
      </w:r>
    </w:p>
    <w:p w:rsidR="009E7F54" w:rsidRPr="00C916CF" w:rsidRDefault="009E7F54" w:rsidP="006C2126">
      <w:pPr>
        <w:spacing w:after="120"/>
        <w:ind w:right="-1"/>
        <w:jc w:val="both"/>
        <w:rPr>
          <w:rFonts w:ascii="Arial" w:eastAsia="Calibri" w:hAnsi="Arial" w:cs="Arial"/>
          <w:sz w:val="18"/>
          <w:szCs w:val="18"/>
          <w:lang w:eastAsia="en-US"/>
        </w:rPr>
      </w:pPr>
      <w:r w:rsidRPr="00C916CF">
        <w:rPr>
          <w:rFonts w:ascii="Arial" w:eastAsia="Calibri" w:hAnsi="Arial" w:cs="Arial"/>
          <w:sz w:val="18"/>
          <w:szCs w:val="18"/>
          <w:lang w:eastAsia="en-US"/>
        </w:rPr>
        <w:t xml:space="preserve">La thyroïde est une glande, située  à la base du cou, qui mesure six centimètres de haut et six centimètres de large et dont le poids n'excède pas 30 grammes. </w:t>
      </w:r>
    </w:p>
    <w:p w:rsidR="009E7F54" w:rsidRPr="00C916CF" w:rsidRDefault="009E7F54" w:rsidP="002E6A9E">
      <w:pPr>
        <w:spacing w:after="160"/>
        <w:ind w:left="2124" w:right="-2"/>
        <w:jc w:val="both"/>
        <w:rPr>
          <w:rFonts w:ascii="Arial" w:eastAsia="Calibri" w:hAnsi="Arial" w:cs="Arial"/>
          <w:sz w:val="18"/>
          <w:szCs w:val="18"/>
          <w:lang w:eastAsia="en-US"/>
        </w:rPr>
      </w:pPr>
      <w:r w:rsidRPr="00C916CF">
        <w:rPr>
          <w:rFonts w:ascii="Arial" w:hAnsi="Arial" w:cs="Arial"/>
          <w:noProof/>
          <w:sz w:val="18"/>
          <w:szCs w:val="18"/>
        </w:rPr>
        <w:drawing>
          <wp:anchor distT="0" distB="0" distL="114300" distR="114300" simplePos="0" relativeHeight="251662336" behindDoc="1" locked="0" layoutInCell="1" allowOverlap="1">
            <wp:simplePos x="0" y="0"/>
            <wp:positionH relativeFrom="column">
              <wp:posOffset>11402</wp:posOffset>
            </wp:positionH>
            <wp:positionV relativeFrom="paragraph">
              <wp:posOffset>20817</wp:posOffset>
            </wp:positionV>
            <wp:extent cx="1309150" cy="1447137"/>
            <wp:effectExtent l="19050" t="0" r="5300" b="0"/>
            <wp:wrapTight wrapText="bothSides">
              <wp:wrapPolygon edited="0">
                <wp:start x="-314" y="0"/>
                <wp:lineTo x="-314" y="21326"/>
                <wp:lineTo x="21687" y="21326"/>
                <wp:lineTo x="21687" y="0"/>
                <wp:lineTo x="-314" y="0"/>
              </wp:wrapPolygon>
            </wp:wrapTight>
            <wp:docPr id="4" name="il_fi" descr="http://amelioretasante.com/wp-content/uploads/2014/04/Thyro%C3%A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elioretasante.com/wp-content/uploads/2014/04/Thyro%C3%AFde.jpg"/>
                    <pic:cNvPicPr>
                      <a:picLocks noChangeAspect="1" noChangeArrowheads="1"/>
                    </pic:cNvPicPr>
                  </pic:nvPicPr>
                  <pic:blipFill>
                    <a:blip r:embed="rId6" r:link="rId7">
                      <a:grayscl/>
                    </a:blip>
                    <a:srcRect l="9398" r="33017"/>
                    <a:stretch>
                      <a:fillRect/>
                    </a:stretch>
                  </pic:blipFill>
                  <pic:spPr bwMode="auto">
                    <a:xfrm>
                      <a:off x="0" y="0"/>
                      <a:ext cx="1309150" cy="1447137"/>
                    </a:xfrm>
                    <a:prstGeom prst="rect">
                      <a:avLst/>
                    </a:prstGeom>
                    <a:noFill/>
                    <a:ln w="9525">
                      <a:noFill/>
                      <a:miter lim="800000"/>
                      <a:headEnd/>
                      <a:tailEnd/>
                    </a:ln>
                  </pic:spPr>
                </pic:pic>
              </a:graphicData>
            </a:graphic>
          </wp:anchor>
        </w:drawing>
      </w:r>
      <w:r w:rsidRPr="00C916CF">
        <w:rPr>
          <w:rFonts w:ascii="Arial" w:eastAsia="Calibri" w:hAnsi="Arial" w:cs="Arial"/>
          <w:sz w:val="18"/>
          <w:szCs w:val="18"/>
          <w:lang w:eastAsia="en-US"/>
        </w:rPr>
        <w:t>Comme toutes les glandes, la thyroïde fabrique des hormones. Deux types d'hormones exactement : la T4 (</w:t>
      </w:r>
      <w:proofErr w:type="spellStart"/>
      <w:r w:rsidRPr="00C916CF">
        <w:rPr>
          <w:rFonts w:ascii="Arial" w:eastAsia="Calibri" w:hAnsi="Arial" w:cs="Arial"/>
          <w:sz w:val="18"/>
          <w:szCs w:val="18"/>
          <w:lang w:eastAsia="en-US"/>
        </w:rPr>
        <w:t>tétraiodothyronine</w:t>
      </w:r>
      <w:proofErr w:type="spellEnd"/>
      <w:r w:rsidRPr="00C916CF">
        <w:rPr>
          <w:rFonts w:ascii="Arial" w:eastAsia="Calibri" w:hAnsi="Arial" w:cs="Arial"/>
          <w:sz w:val="18"/>
          <w:szCs w:val="18"/>
          <w:lang w:eastAsia="en-US"/>
        </w:rPr>
        <w:t xml:space="preserve"> ou thyroxine) et la T3 (</w:t>
      </w:r>
      <w:proofErr w:type="spellStart"/>
      <w:r w:rsidRPr="00C916CF">
        <w:rPr>
          <w:rFonts w:ascii="Arial" w:eastAsia="Calibri" w:hAnsi="Arial" w:cs="Arial"/>
          <w:sz w:val="18"/>
          <w:szCs w:val="18"/>
          <w:lang w:eastAsia="en-US"/>
        </w:rPr>
        <w:t>triiodothyronine</w:t>
      </w:r>
      <w:proofErr w:type="spellEnd"/>
      <w:r w:rsidRPr="00C916CF">
        <w:rPr>
          <w:rFonts w:ascii="Arial" w:eastAsia="Calibri" w:hAnsi="Arial" w:cs="Arial"/>
          <w:sz w:val="18"/>
          <w:szCs w:val="18"/>
          <w:lang w:eastAsia="en-US"/>
        </w:rPr>
        <w:t>), dont l'action est essentielle à toutes les cellules de l'organisme. (…)</w:t>
      </w:r>
    </w:p>
    <w:p w:rsidR="002E6A9E" w:rsidRPr="00C916CF" w:rsidRDefault="002E6A9E" w:rsidP="002E6A9E">
      <w:pPr>
        <w:spacing w:after="360"/>
        <w:rPr>
          <w:rFonts w:ascii="Arial" w:eastAsia="Calibri" w:hAnsi="Arial" w:cs="Arial"/>
          <w:sz w:val="18"/>
          <w:szCs w:val="18"/>
          <w:lang w:eastAsia="en-US"/>
        </w:rPr>
      </w:pPr>
      <w:r w:rsidRPr="00C916CF">
        <w:rPr>
          <w:rFonts w:ascii="Arial" w:eastAsia="Calibri" w:hAnsi="Arial" w:cs="Arial"/>
          <w:sz w:val="18"/>
          <w:szCs w:val="18"/>
          <w:lang w:eastAsia="en-US"/>
        </w:rPr>
        <w:t>Ces hormones thyroïdiennes sont fabriquées à partir d'un élément naturel, l'iode, que la glande thyro</w:t>
      </w:r>
      <w:r w:rsidR="001E2ACF">
        <w:rPr>
          <w:rFonts w:ascii="Arial" w:eastAsia="Calibri" w:hAnsi="Arial" w:cs="Arial"/>
          <w:sz w:val="18"/>
          <w:szCs w:val="18"/>
          <w:lang w:eastAsia="en-US"/>
        </w:rPr>
        <w:t>ïde capte dans l'alimentation (</w:t>
      </w:r>
      <w:r w:rsidRPr="00C916CF">
        <w:rPr>
          <w:rFonts w:ascii="Arial" w:eastAsia="Calibri" w:hAnsi="Arial" w:cs="Arial"/>
          <w:sz w:val="18"/>
          <w:szCs w:val="18"/>
          <w:lang w:eastAsia="en-US"/>
        </w:rPr>
        <w:t>poissons, crustacés, soja, haricots verts, laitages, algues …). Une alimentation équilibrée apporte environ 300 microgrammes d'iode par jour, ce qui est suffisant</w:t>
      </w:r>
      <w:r w:rsidR="001E2ACF">
        <w:rPr>
          <w:rFonts w:ascii="Arial" w:eastAsia="Calibri" w:hAnsi="Arial" w:cs="Arial"/>
          <w:sz w:val="18"/>
          <w:szCs w:val="18"/>
          <w:lang w:eastAsia="en-US"/>
        </w:rPr>
        <w:t xml:space="preserve"> pour les besoins de l’organisme</w:t>
      </w:r>
      <w:r w:rsidRPr="00C916CF">
        <w:rPr>
          <w:rFonts w:ascii="Arial" w:eastAsia="Calibri" w:hAnsi="Arial" w:cs="Arial"/>
          <w:sz w:val="18"/>
          <w:szCs w:val="18"/>
          <w:lang w:eastAsia="en-US"/>
        </w:rPr>
        <w:t>.</w:t>
      </w:r>
    </w:p>
    <w:p w:rsidR="009E7F54" w:rsidRPr="00C916CF" w:rsidRDefault="002E6A9E" w:rsidP="009E7F54">
      <w:pPr>
        <w:spacing w:after="360"/>
        <w:jc w:val="right"/>
        <w:rPr>
          <w:rFonts w:ascii="Arial" w:eastAsia="Calibri" w:hAnsi="Arial" w:cs="Arial"/>
          <w:sz w:val="18"/>
          <w:szCs w:val="18"/>
          <w:lang w:eastAsia="en-US"/>
        </w:rPr>
      </w:pPr>
      <w:r w:rsidRPr="00C916CF">
        <w:rPr>
          <w:rFonts w:ascii="Arial" w:eastAsia="Calibri" w:hAnsi="Arial" w:cs="Arial"/>
          <w:sz w:val="18"/>
          <w:szCs w:val="18"/>
          <w:lang w:eastAsia="en-US"/>
        </w:rPr>
        <w:t xml:space="preserve">D’après     </w:t>
      </w:r>
      <w:hyperlink r:id="rId8" w:history="1">
        <w:r w:rsidR="009E7F54" w:rsidRPr="00C916CF">
          <w:rPr>
            <w:rStyle w:val="Lienhypertexte"/>
            <w:rFonts w:ascii="Arial" w:eastAsia="Calibri" w:hAnsi="Arial" w:cs="Arial"/>
            <w:sz w:val="18"/>
            <w:szCs w:val="18"/>
            <w:lang w:eastAsia="en-US"/>
          </w:rPr>
          <w:t>http://www.doctissimo.fr</w:t>
        </w:r>
      </w:hyperlink>
    </w:p>
    <w:p w:rsidR="009E7F54" w:rsidRPr="00C916CF" w:rsidRDefault="00F762E1" w:rsidP="006C2126">
      <w:pPr>
        <w:pBdr>
          <w:bottom w:val="single" w:sz="4" w:space="1" w:color="auto"/>
        </w:pBdr>
        <w:spacing w:after="200"/>
        <w:rPr>
          <w:rFonts w:ascii="Arial" w:hAnsi="Arial" w:cs="Arial"/>
          <w:sz w:val="18"/>
          <w:szCs w:val="18"/>
        </w:rPr>
      </w:pPr>
      <w:r w:rsidRPr="00C916CF">
        <w:rPr>
          <w:rFonts w:ascii="Arial" w:hAnsi="Arial" w:cs="Arial"/>
          <w:b/>
          <w:noProof/>
          <w:sz w:val="18"/>
          <w:szCs w:val="18"/>
        </w:rPr>
        <w:drawing>
          <wp:anchor distT="0" distB="0" distL="114300" distR="114300" simplePos="0" relativeHeight="251661312" behindDoc="1" locked="0" layoutInCell="1" allowOverlap="1">
            <wp:simplePos x="0" y="0"/>
            <wp:positionH relativeFrom="column">
              <wp:posOffset>12065</wp:posOffset>
            </wp:positionH>
            <wp:positionV relativeFrom="paragraph">
              <wp:posOffset>227965</wp:posOffset>
            </wp:positionV>
            <wp:extent cx="789305" cy="994410"/>
            <wp:effectExtent l="19050" t="0" r="0" b="0"/>
            <wp:wrapTight wrapText="bothSides">
              <wp:wrapPolygon edited="0">
                <wp:start x="-521" y="0"/>
                <wp:lineTo x="-521" y="21103"/>
                <wp:lineTo x="21374" y="21103"/>
                <wp:lineTo x="21374" y="0"/>
                <wp:lineTo x="-521" y="0"/>
              </wp:wrapPolygon>
            </wp:wrapTight>
            <wp:docPr id="3" name="il_fi" descr="http://med-travel.pl/wp-content/uploads/2014/02/image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travel.pl/wp-content/uploads/2014/02/imageServer.jpg"/>
                    <pic:cNvPicPr>
                      <a:picLocks noChangeAspect="1" noChangeArrowheads="1"/>
                    </pic:cNvPicPr>
                  </pic:nvPicPr>
                  <pic:blipFill>
                    <a:blip r:embed="rId9" r:link="rId10" cstate="print">
                      <a:lum bright="8000" contrast="8000"/>
                      <a:grayscl/>
                    </a:blip>
                    <a:srcRect l="7936" t="11780" r="7336" b="17317"/>
                    <a:stretch>
                      <a:fillRect/>
                    </a:stretch>
                  </pic:blipFill>
                  <pic:spPr bwMode="auto">
                    <a:xfrm>
                      <a:off x="0" y="0"/>
                      <a:ext cx="789305" cy="994410"/>
                    </a:xfrm>
                    <a:prstGeom prst="rect">
                      <a:avLst/>
                    </a:prstGeom>
                    <a:noFill/>
                    <a:ln w="3175">
                      <a:noFill/>
                      <a:miter lim="800000"/>
                      <a:headEnd/>
                      <a:tailEnd/>
                    </a:ln>
                  </pic:spPr>
                </pic:pic>
              </a:graphicData>
            </a:graphic>
          </wp:anchor>
        </w:drawing>
      </w:r>
      <w:r w:rsidR="009E7F54" w:rsidRPr="00C916CF">
        <w:rPr>
          <w:rFonts w:ascii="Arial" w:hAnsi="Arial" w:cs="Arial"/>
          <w:b/>
          <w:sz w:val="18"/>
          <w:szCs w:val="18"/>
        </w:rPr>
        <w:t>Traitement par l’iode radioactif</w:t>
      </w:r>
      <w:r w:rsidR="006C2126" w:rsidRPr="00C916CF">
        <w:rPr>
          <w:rFonts w:ascii="Arial" w:hAnsi="Arial" w:cs="Arial"/>
          <w:sz w:val="18"/>
          <w:szCs w:val="18"/>
        </w:rPr>
        <w:t> :</w:t>
      </w:r>
    </w:p>
    <w:p w:rsidR="00DC4E28" w:rsidRDefault="002067FE" w:rsidP="009E7F54">
      <w:pPr>
        <w:autoSpaceDE w:val="0"/>
        <w:autoSpaceDN w:val="0"/>
        <w:adjustRightInd w:val="0"/>
        <w:spacing w:after="120"/>
        <w:ind w:right="-2"/>
        <w:jc w:val="both"/>
        <w:rPr>
          <w:rFonts w:ascii="Arial" w:hAnsi="Arial" w:cs="Arial"/>
          <w:color w:val="000000"/>
          <w:sz w:val="18"/>
          <w:szCs w:val="18"/>
        </w:rPr>
      </w:pPr>
      <w:r w:rsidRPr="002067FE">
        <w:rPr>
          <w:rFonts w:ascii="Arial" w:eastAsia="Calibri" w:hAnsi="Arial" w:cs="Arial"/>
          <w:i/>
          <w:noProof/>
          <w:sz w:val="18"/>
          <w:szCs w:val="18"/>
          <w:u w:val="single"/>
        </w:rPr>
        <w:pict>
          <v:group id="_x0000_s1301" style="position:absolute;left:0;text-align:left;margin-left:254.9pt;margin-top:29.8pt;width:195.85pt;height:270.95pt;z-index:-251658240" coordorigin="7640,11148" coordsize="3917,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302" type="#_x0000_t75" alt="Traintement par l'iode radioactif" style="position:absolute;left:7747;top:11148;width:3810;height:5419;visibility:visible">
              <v:imagedata r:id="rId11" o:title="Traintement par l'iode radioactif" croptop="2312f" cropbottom="1073f" gain="71235f" blacklevel="-1311f" grayscale="t"/>
            </v:shape>
            <v:rect id="_x0000_s1303" style="position:absolute;left:7640;top:14264;width:1197;height:2300" stroked="f"/>
            <v:rect id="_x0000_s1304" style="position:absolute;left:8063;top:13994;width:362;height:336" stroked="f"/>
            <v:rect id="_x0000_s1305" style="position:absolute;left:8756;top:14990;width:449;height:771" stroked="f"/>
            <v:oval id="_x0000_s1306" style="position:absolute;left:10233;top:11740;width:199;height:199" filled="f" strokeweight=".25pt">
              <o:lock v:ext="edit" aspectratio="t"/>
            </v:oval>
            <v:oval id="_x0000_s1307" style="position:absolute;left:10276;top:11783;width:113;height:113" fillcolor="black" strokeweight=".25pt">
              <o:lock v:ext="edit" aspectratio="t"/>
            </v:oval>
            <v:oval id="_x0000_s1308" style="position:absolute;left:10191;top:11698;width:283;height:283" filled="f" strokeweight=".25pt">
              <o:lock v:ext="edit" aspectratio="t"/>
            </v:oval>
            <v:oval id="_x0000_s1309" style="position:absolute;left:10147;top:11655;width:369;height:369" filled="f" strokeweight=".25pt">
              <o:lock v:ext="edit" aspectratio="t"/>
            </v:oval>
            <v:oval id="_x0000_s1310" style="position:absolute;left:10102;top:11612;width:454;height:454" filled="f" strokeweight=".25pt">
              <o:lock v:ext="edit" aspectratio="t"/>
            </v:oval>
            <v:group id="_x0000_s1311" style="position:absolute;left:9896;top:15117;width:227;height:227" coordorigin="9465,8500" coordsize="227,227">
              <v:oval id="_x0000_s1312" style="position:absolute;left:9529;top:8564;width:100;height:100" filled="f" strokeweight=".25pt">
                <o:lock v:ext="edit" aspectratio="t"/>
              </v:oval>
              <v:oval id="_x0000_s1313" style="position:absolute;left:9551;top:8586;width:56;height:56" fillcolor="black" strokeweight=".25pt">
                <o:lock v:ext="edit" aspectratio="t"/>
              </v:oval>
              <v:oval id="_x0000_s1314" style="position:absolute;left:9508;top:8543;width:142;height:142" filled="f" strokeweight=".25pt">
                <o:lock v:ext="edit" aspectratio="t"/>
              </v:oval>
              <v:oval id="_x0000_s1315" style="position:absolute;left:9486;top:8522;width:185;height:184" filled="f" strokeweight=".25pt">
                <o:lock v:ext="edit" aspectratio="t"/>
              </v:oval>
              <v:oval id="_x0000_s1316" style="position:absolute;left:9465;top:8500;width:227;height:227" filled="f" strokeweight=".25pt">
                <o:lock v:ext="edit" aspectratio="t"/>
              </v:oval>
            </v:group>
            <v:group id="_x0000_s1317" style="position:absolute;left:10147;top:15048;width:227;height:227" coordorigin="9465,8500" coordsize="227,227">
              <v:oval id="_x0000_s1318" style="position:absolute;left:9529;top:8564;width:100;height:100" filled="f" strokeweight=".25pt">
                <o:lock v:ext="edit" aspectratio="t"/>
              </v:oval>
              <v:oval id="_x0000_s1319" style="position:absolute;left:9551;top:8586;width:56;height:56" fillcolor="black" strokeweight=".25pt">
                <o:lock v:ext="edit" aspectratio="t"/>
              </v:oval>
              <v:oval id="_x0000_s1320" style="position:absolute;left:9508;top:8543;width:142;height:142" filled="f" strokeweight=".25pt">
                <o:lock v:ext="edit" aspectratio="t"/>
              </v:oval>
              <v:oval id="_x0000_s1321" style="position:absolute;left:9486;top:8522;width:185;height:184" filled="f" strokeweight=".25pt">
                <o:lock v:ext="edit" aspectratio="t"/>
              </v:oval>
              <v:oval id="_x0000_s1322" style="position:absolute;left:9465;top:8500;width:227;height:227" filled="f" strokeweight=".25pt">
                <o:lock v:ext="edit" aspectratio="t"/>
              </v:oval>
            </v:group>
            <v:group id="_x0000_s1323" style="position:absolute;left:10181;top:15275;width:227;height:227" coordorigin="9465,8500" coordsize="227,227">
              <v:oval id="_x0000_s1324" style="position:absolute;left:9529;top:8564;width:100;height:100" filled="f" strokeweight=".25pt">
                <o:lock v:ext="edit" aspectratio="t"/>
              </v:oval>
              <v:oval id="_x0000_s1325" style="position:absolute;left:9551;top:8586;width:56;height:56" fillcolor="black" strokeweight=".25pt">
                <o:lock v:ext="edit" aspectratio="t"/>
              </v:oval>
              <v:oval id="_x0000_s1326" style="position:absolute;left:9508;top:8543;width:142;height:142" filled="f" strokeweight=".25pt">
                <o:lock v:ext="edit" aspectratio="t"/>
              </v:oval>
              <v:oval id="_x0000_s1327" style="position:absolute;left:9486;top:8522;width:185;height:184" filled="f" strokeweight=".25pt">
                <o:lock v:ext="edit" aspectratio="t"/>
              </v:oval>
              <v:oval id="_x0000_s1328" style="position:absolute;left:9465;top:8500;width:227;height:227" filled="f" strokeweight=".25pt">
                <o:lock v:ext="edit" aspectratio="t"/>
              </v:oval>
            </v:group>
            <v:group id="_x0000_s1329" style="position:absolute;left:10034;top:15398;width:227;height:227" coordorigin="9465,8500" coordsize="227,227">
              <v:oval id="_x0000_s1330" style="position:absolute;left:9529;top:8564;width:100;height:100" filled="f" strokeweight=".25pt">
                <o:lock v:ext="edit" aspectratio="t"/>
              </v:oval>
              <v:oval id="_x0000_s1331" style="position:absolute;left:9551;top:8586;width:56;height:56" fillcolor="black" strokeweight=".25pt">
                <o:lock v:ext="edit" aspectratio="t"/>
              </v:oval>
              <v:oval id="_x0000_s1332" style="position:absolute;left:9508;top:8543;width:142;height:142" filled="f" strokeweight=".25pt">
                <o:lock v:ext="edit" aspectratio="t"/>
              </v:oval>
              <v:oval id="_x0000_s1333" style="position:absolute;left:9486;top:8522;width:185;height:184" filled="f" strokeweight=".25pt">
                <o:lock v:ext="edit" aspectratio="t"/>
              </v:oval>
              <v:oval id="_x0000_s1334" style="position:absolute;left:9465;top:8500;width:227;height:227" filled="f" strokeweight=".25pt">
                <o:lock v:ext="edit" aspectratio="t"/>
              </v:oval>
            </v:group>
            <v:group id="_x0000_s1335" style="position:absolute;left:9850;top:13270;width:227;height:227" coordorigin="9465,8500" coordsize="227,227">
              <v:oval id="_x0000_s1336" style="position:absolute;left:9529;top:8564;width:100;height:100" filled="f" strokeweight=".25pt">
                <o:lock v:ext="edit" aspectratio="t"/>
              </v:oval>
              <v:oval id="_x0000_s1337" style="position:absolute;left:9551;top:8586;width:56;height:56" fillcolor="black" strokeweight=".25pt">
                <o:lock v:ext="edit" aspectratio="t"/>
              </v:oval>
              <v:oval id="_x0000_s1338" style="position:absolute;left:9508;top:8543;width:142;height:142" filled="f" strokeweight=".25pt">
                <o:lock v:ext="edit" aspectratio="t"/>
              </v:oval>
              <v:oval id="_x0000_s1339" style="position:absolute;left:9486;top:8522;width:185;height:184" filled="f" strokeweight=".25pt">
                <o:lock v:ext="edit" aspectratio="t"/>
              </v:oval>
              <v:oval id="_x0000_s1340" style="position:absolute;left:9465;top:8500;width:227;height:227" filled="f" strokeweight=".25pt">
                <o:lock v:ext="edit" aspectratio="t"/>
              </v:oval>
            </v:group>
            <v:group id="_x0000_s1341" style="position:absolute;left:9523;top:13018;width:170;height:170" coordorigin="9465,8500" coordsize="227,227">
              <o:lock v:ext="edit" aspectratio="t"/>
              <v:oval id="_x0000_s1342" style="position:absolute;left:9529;top:8564;width:100;height:100" filled="f" strokeweight=".25pt">
                <o:lock v:ext="edit" aspectratio="t"/>
              </v:oval>
              <v:oval id="_x0000_s1343" style="position:absolute;left:9551;top:8586;width:56;height:56" fillcolor="black" strokeweight=".25pt">
                <o:lock v:ext="edit" aspectratio="t"/>
              </v:oval>
              <v:oval id="_x0000_s1344" style="position:absolute;left:9508;top:8543;width:142;height:142" filled="f" strokeweight=".25pt">
                <o:lock v:ext="edit" aspectratio="t"/>
              </v:oval>
              <v:oval id="_x0000_s1345" style="position:absolute;left:9486;top:8522;width:185;height:184" filled="f" strokeweight=".25pt">
                <o:lock v:ext="edit" aspectratio="t"/>
              </v:oval>
              <v:oval id="_x0000_s1346" style="position:absolute;left:9465;top:8500;width:227;height:227" filled="f" strokeweight=".25pt">
                <o:lock v:ext="edit" aspectratio="t"/>
              </v:oval>
            </v:group>
            <v:group id="_x0000_s1347" style="position:absolute;left:9693;top:12896;width:113;height:113" coordorigin="9465,8500" coordsize="227,227">
              <o:lock v:ext="edit" aspectratio="t"/>
              <v:oval id="_x0000_s1348" style="position:absolute;left:9529;top:8564;width:100;height:100" filled="f" strokeweight=".25pt">
                <o:lock v:ext="edit" aspectratio="t"/>
              </v:oval>
              <v:oval id="_x0000_s1349" style="position:absolute;left:9551;top:8586;width:56;height:56" fillcolor="black" strokeweight=".25pt">
                <o:lock v:ext="edit" aspectratio="t"/>
              </v:oval>
              <v:oval id="_x0000_s1350" style="position:absolute;left:9508;top:8543;width:142;height:142" filled="f" strokeweight=".25pt">
                <o:lock v:ext="edit" aspectratio="t"/>
              </v:oval>
              <v:oval id="_x0000_s1351" style="position:absolute;left:9486;top:8522;width:185;height:184" filled="f" strokeweight=".25pt">
                <o:lock v:ext="edit" aspectratio="t"/>
              </v:oval>
              <v:oval id="_x0000_s1352" style="position:absolute;left:9465;top:8500;width:227;height:227" filled="f" strokeweight=".25pt">
                <o:lock v:ext="edit" aspectratio="t"/>
              </v:oval>
            </v:group>
            <v:group id="_x0000_s1353" style="position:absolute;left:10140;top:13253;width:113;height:113" coordorigin="9465,8500" coordsize="227,227">
              <o:lock v:ext="edit" aspectratio="t"/>
              <v:oval id="_x0000_s1354" style="position:absolute;left:9529;top:8564;width:100;height:100" filled="f" strokeweight=".25pt">
                <o:lock v:ext="edit" aspectratio="t"/>
              </v:oval>
              <v:oval id="_x0000_s1355" style="position:absolute;left:9551;top:8586;width:56;height:56" fillcolor="black" strokeweight=".25pt">
                <o:lock v:ext="edit" aspectratio="t"/>
              </v:oval>
              <v:oval id="_x0000_s1356" style="position:absolute;left:9508;top:8543;width:142;height:142" filled="f" strokeweight=".25pt">
                <o:lock v:ext="edit" aspectratio="t"/>
              </v:oval>
              <v:oval id="_x0000_s1357" style="position:absolute;left:9486;top:8522;width:185;height:184" filled="f" strokeweight=".25pt">
                <o:lock v:ext="edit" aspectratio="t"/>
              </v:oval>
              <v:oval id="_x0000_s1358" style="position:absolute;left:9465;top:8500;width:227;height:227" filled="f" strokeweight=".25pt">
                <o:lock v:ext="edit" aspectratio="t"/>
              </v:oval>
            </v:group>
          </v:group>
        </w:pict>
      </w:r>
      <w:r w:rsidR="009E7F54" w:rsidRPr="00C916CF">
        <w:rPr>
          <w:rFonts w:ascii="Arial" w:hAnsi="Arial" w:cs="Arial"/>
          <w:color w:val="000000"/>
          <w:sz w:val="18"/>
          <w:szCs w:val="18"/>
        </w:rPr>
        <w:t xml:space="preserve">Trois des isotopes radioactifs de l’iode sont utilisés dans le domaine médical : </w:t>
      </w:r>
    </w:p>
    <w:p w:rsidR="009E7F54" w:rsidRPr="00C916CF" w:rsidRDefault="009E7F54" w:rsidP="009E7F54">
      <w:pPr>
        <w:autoSpaceDE w:val="0"/>
        <w:autoSpaceDN w:val="0"/>
        <w:adjustRightInd w:val="0"/>
        <w:spacing w:after="120"/>
        <w:ind w:right="-2"/>
        <w:jc w:val="both"/>
        <w:rPr>
          <w:rFonts w:ascii="Arial" w:hAnsi="Arial" w:cs="Arial"/>
          <w:color w:val="000000"/>
          <w:sz w:val="18"/>
          <w:szCs w:val="18"/>
        </w:rPr>
      </w:pPr>
      <w:proofErr w:type="gramStart"/>
      <w:r w:rsidRPr="00C916CF">
        <w:rPr>
          <w:rFonts w:ascii="Arial" w:hAnsi="Arial" w:cs="Arial"/>
          <w:sz w:val="18"/>
          <w:szCs w:val="18"/>
        </w:rPr>
        <w:t>l'iode</w:t>
      </w:r>
      <w:proofErr w:type="gramEnd"/>
      <w:r w:rsidRPr="00C916CF">
        <w:rPr>
          <w:rFonts w:ascii="Arial" w:hAnsi="Arial" w:cs="Arial"/>
          <w:sz w:val="18"/>
          <w:szCs w:val="18"/>
        </w:rPr>
        <w:t xml:space="preserve"> 131, l'iode 123 et l'iode 125.</w:t>
      </w:r>
    </w:p>
    <w:p w:rsidR="00343419" w:rsidRPr="00C916CF" w:rsidRDefault="00343419" w:rsidP="009E7F54">
      <w:pPr>
        <w:spacing w:after="120"/>
        <w:rPr>
          <w:rFonts w:ascii="Arial" w:eastAsia="Calibri" w:hAnsi="Arial" w:cs="Arial"/>
          <w:i/>
          <w:sz w:val="18"/>
          <w:szCs w:val="18"/>
          <w:u w:val="single"/>
          <w:lang w:eastAsia="en-US"/>
        </w:rPr>
      </w:pPr>
    </w:p>
    <w:p w:rsidR="00343419" w:rsidRPr="00C916CF" w:rsidRDefault="00343419" w:rsidP="009E7F54">
      <w:pPr>
        <w:spacing w:after="120"/>
        <w:rPr>
          <w:rFonts w:ascii="Arial" w:eastAsia="Calibri" w:hAnsi="Arial" w:cs="Arial"/>
          <w:i/>
          <w:sz w:val="18"/>
          <w:szCs w:val="18"/>
          <w:u w:val="single"/>
          <w:lang w:eastAsia="en-US"/>
        </w:rPr>
      </w:pPr>
    </w:p>
    <w:p w:rsidR="00DC4E28" w:rsidRDefault="00DC4E28" w:rsidP="00343419">
      <w:pPr>
        <w:tabs>
          <w:tab w:val="left" w:pos="10064"/>
        </w:tabs>
        <w:autoSpaceDE w:val="0"/>
        <w:autoSpaceDN w:val="0"/>
        <w:adjustRightInd w:val="0"/>
        <w:jc w:val="both"/>
        <w:rPr>
          <w:rFonts w:ascii="Arial" w:hAnsi="Arial" w:cs="Arial"/>
          <w:color w:val="000000"/>
          <w:sz w:val="18"/>
          <w:szCs w:val="18"/>
        </w:rPr>
      </w:pPr>
    </w:p>
    <w:p w:rsidR="00DC4E28" w:rsidRPr="00C916CF" w:rsidRDefault="00DC4E28" w:rsidP="00343419">
      <w:pPr>
        <w:tabs>
          <w:tab w:val="left" w:pos="10064"/>
        </w:tabs>
        <w:autoSpaceDE w:val="0"/>
        <w:autoSpaceDN w:val="0"/>
        <w:adjustRightInd w:val="0"/>
        <w:jc w:val="both"/>
        <w:rPr>
          <w:rFonts w:ascii="Arial" w:hAnsi="Arial" w:cs="Arial"/>
          <w:color w:val="000000"/>
          <w:sz w:val="18"/>
          <w:szCs w:val="18"/>
        </w:rPr>
      </w:pPr>
    </w:p>
    <w:p w:rsidR="00343419" w:rsidRPr="00C916CF" w:rsidRDefault="00B16858" w:rsidP="00343419">
      <w:pPr>
        <w:tabs>
          <w:tab w:val="left" w:pos="10064"/>
        </w:tabs>
        <w:autoSpaceDE w:val="0"/>
        <w:autoSpaceDN w:val="0"/>
        <w:adjustRightInd w:val="0"/>
        <w:jc w:val="both"/>
        <w:rPr>
          <w:rFonts w:ascii="Arial" w:hAnsi="Arial" w:cs="Arial"/>
          <w:color w:val="000000"/>
          <w:sz w:val="18"/>
          <w:szCs w:val="18"/>
        </w:rPr>
      </w:pPr>
      <w:r w:rsidRPr="00C916CF">
        <w:rPr>
          <w:rFonts w:ascii="Arial" w:hAnsi="Arial" w:cs="Arial"/>
          <w:color w:val="000000"/>
          <w:sz w:val="18"/>
          <w:szCs w:val="18"/>
        </w:rPr>
        <w:t xml:space="preserve">Après </w:t>
      </w:r>
      <w:r w:rsidR="00343419" w:rsidRPr="00C916CF">
        <w:rPr>
          <w:rFonts w:ascii="Arial" w:hAnsi="Arial" w:cs="Arial"/>
          <w:color w:val="000000"/>
          <w:sz w:val="18"/>
          <w:szCs w:val="18"/>
        </w:rPr>
        <w:t xml:space="preserve">l’intervention chirurgicale qui permet de retirer la thyroïde, </w:t>
      </w:r>
    </w:p>
    <w:p w:rsidR="00343419" w:rsidRPr="00C916CF" w:rsidRDefault="00343419" w:rsidP="00343419">
      <w:pPr>
        <w:tabs>
          <w:tab w:val="left" w:pos="10064"/>
        </w:tabs>
        <w:autoSpaceDE w:val="0"/>
        <w:autoSpaceDN w:val="0"/>
        <w:adjustRightInd w:val="0"/>
        <w:jc w:val="both"/>
        <w:rPr>
          <w:rFonts w:ascii="Arial" w:hAnsi="Arial" w:cs="Arial"/>
          <w:color w:val="000000"/>
          <w:sz w:val="18"/>
          <w:szCs w:val="18"/>
        </w:rPr>
      </w:pPr>
      <w:proofErr w:type="gramStart"/>
      <w:r w:rsidRPr="00C916CF">
        <w:rPr>
          <w:rFonts w:ascii="Arial" w:hAnsi="Arial" w:cs="Arial"/>
          <w:color w:val="000000"/>
          <w:sz w:val="18"/>
          <w:szCs w:val="18"/>
        </w:rPr>
        <w:t>l’un</w:t>
      </w:r>
      <w:proofErr w:type="gramEnd"/>
      <w:r w:rsidRPr="00C916CF">
        <w:rPr>
          <w:rFonts w:ascii="Arial" w:hAnsi="Arial" w:cs="Arial"/>
          <w:color w:val="000000"/>
          <w:sz w:val="18"/>
          <w:szCs w:val="18"/>
        </w:rPr>
        <w:t xml:space="preserve"> de ces isotopes est utilisé pour détruire les cellules thyroïdiennes </w:t>
      </w:r>
    </w:p>
    <w:p w:rsidR="00343419" w:rsidRPr="00C916CF" w:rsidRDefault="00343419" w:rsidP="00343419">
      <w:pPr>
        <w:tabs>
          <w:tab w:val="left" w:pos="10064"/>
        </w:tabs>
        <w:autoSpaceDE w:val="0"/>
        <w:autoSpaceDN w:val="0"/>
        <w:adjustRightInd w:val="0"/>
        <w:jc w:val="both"/>
        <w:rPr>
          <w:rFonts w:ascii="Arial" w:hAnsi="Arial" w:cs="Arial"/>
          <w:color w:val="000000"/>
          <w:sz w:val="18"/>
          <w:szCs w:val="18"/>
        </w:rPr>
      </w:pPr>
      <w:proofErr w:type="gramStart"/>
      <w:r w:rsidRPr="00C916CF">
        <w:rPr>
          <w:rFonts w:ascii="Arial" w:hAnsi="Arial" w:cs="Arial"/>
          <w:color w:val="000000"/>
          <w:sz w:val="18"/>
          <w:szCs w:val="18"/>
        </w:rPr>
        <w:t>restantes</w:t>
      </w:r>
      <w:proofErr w:type="gramEnd"/>
      <w:r w:rsidRPr="00C916CF">
        <w:rPr>
          <w:rFonts w:ascii="Arial" w:hAnsi="Arial" w:cs="Arial"/>
          <w:color w:val="000000"/>
          <w:sz w:val="18"/>
          <w:szCs w:val="18"/>
        </w:rPr>
        <w:t xml:space="preserve"> pour éviter toute récidive.</w:t>
      </w:r>
    </w:p>
    <w:p w:rsidR="00343419" w:rsidRPr="00C916CF" w:rsidRDefault="00343419" w:rsidP="009E7F54">
      <w:pPr>
        <w:spacing w:after="120"/>
        <w:rPr>
          <w:rFonts w:ascii="Arial" w:eastAsia="Calibri" w:hAnsi="Arial" w:cs="Arial"/>
          <w:i/>
          <w:sz w:val="18"/>
          <w:szCs w:val="18"/>
          <w:u w:val="single"/>
          <w:lang w:eastAsia="en-US"/>
        </w:rPr>
      </w:pPr>
    </w:p>
    <w:p w:rsidR="009E7F54" w:rsidRPr="00C916CF" w:rsidRDefault="009E7F54" w:rsidP="009E7F54">
      <w:pPr>
        <w:spacing w:after="120"/>
        <w:rPr>
          <w:rFonts w:ascii="Arial" w:eastAsia="Calibri" w:hAnsi="Arial" w:cs="Arial"/>
          <w:i/>
          <w:sz w:val="18"/>
          <w:szCs w:val="18"/>
          <w:u w:val="single"/>
          <w:lang w:eastAsia="en-US"/>
        </w:rPr>
      </w:pPr>
      <w:r w:rsidRPr="00C916CF">
        <w:rPr>
          <w:rFonts w:ascii="Arial" w:eastAsia="Calibri" w:hAnsi="Arial" w:cs="Arial"/>
          <w:i/>
          <w:sz w:val="18"/>
          <w:szCs w:val="18"/>
          <w:u w:val="single"/>
          <w:lang w:eastAsia="en-US"/>
        </w:rPr>
        <w:t>Protocole d’administration (simplifié)</w:t>
      </w:r>
    </w:p>
    <w:p w:rsidR="009E7F54" w:rsidRPr="00C916CF" w:rsidRDefault="009E7F54" w:rsidP="009E7F54">
      <w:pPr>
        <w:numPr>
          <w:ilvl w:val="0"/>
          <w:numId w:val="1"/>
        </w:numPr>
        <w:spacing w:after="80"/>
        <w:ind w:left="170" w:hanging="170"/>
        <w:jc w:val="both"/>
        <w:rPr>
          <w:rFonts w:ascii="Arial" w:eastAsia="Calibri" w:hAnsi="Arial" w:cs="Arial"/>
          <w:sz w:val="18"/>
          <w:szCs w:val="18"/>
          <w:lang w:eastAsia="en-US"/>
        </w:rPr>
      </w:pPr>
      <w:r w:rsidRPr="00C916CF">
        <w:rPr>
          <w:rFonts w:ascii="Arial" w:eastAsia="Calibri" w:hAnsi="Arial" w:cs="Arial"/>
          <w:sz w:val="18"/>
          <w:szCs w:val="18"/>
          <w:lang w:eastAsia="en-US"/>
        </w:rPr>
        <w:t>Sortir la boîte en fer blanc du colis et prendre le pot de plomb.</w:t>
      </w:r>
    </w:p>
    <w:p w:rsidR="009E7F54" w:rsidRPr="00C916CF" w:rsidRDefault="009E7F54" w:rsidP="009E7F54">
      <w:pPr>
        <w:numPr>
          <w:ilvl w:val="0"/>
          <w:numId w:val="1"/>
        </w:numPr>
        <w:spacing w:after="80"/>
        <w:ind w:left="170" w:right="3825" w:hanging="170"/>
        <w:jc w:val="both"/>
        <w:rPr>
          <w:rFonts w:ascii="Arial" w:eastAsia="Calibri" w:hAnsi="Arial" w:cs="Arial"/>
          <w:sz w:val="18"/>
          <w:szCs w:val="18"/>
          <w:lang w:eastAsia="en-US"/>
        </w:rPr>
      </w:pPr>
      <w:r w:rsidRPr="00C916CF">
        <w:rPr>
          <w:rFonts w:ascii="Arial" w:eastAsia="Calibri" w:hAnsi="Arial" w:cs="Arial"/>
          <w:sz w:val="18"/>
          <w:szCs w:val="18"/>
          <w:lang w:eastAsia="en-US"/>
        </w:rPr>
        <w:t>Demander au patient de dévisser la partie supérieure du pot de plomb en tournant 3 fois dans le sens inverse des aiguilles d’une montre, ce qui dévissera simultanément le bouchon du flacon contenant la gélule.</w:t>
      </w:r>
    </w:p>
    <w:p w:rsidR="009E7F54" w:rsidRPr="00C916CF" w:rsidRDefault="009E7F54" w:rsidP="009E7F54">
      <w:pPr>
        <w:numPr>
          <w:ilvl w:val="0"/>
          <w:numId w:val="1"/>
        </w:numPr>
        <w:spacing w:after="200"/>
        <w:ind w:left="170" w:right="3825" w:hanging="170"/>
        <w:jc w:val="both"/>
        <w:rPr>
          <w:rFonts w:ascii="Arial" w:eastAsia="Calibri" w:hAnsi="Arial" w:cs="Arial"/>
          <w:sz w:val="18"/>
          <w:szCs w:val="18"/>
          <w:lang w:eastAsia="en-US"/>
        </w:rPr>
      </w:pPr>
      <w:r w:rsidRPr="00C916CF">
        <w:rPr>
          <w:rFonts w:ascii="Arial" w:eastAsia="Calibri" w:hAnsi="Arial" w:cs="Arial"/>
          <w:sz w:val="18"/>
          <w:szCs w:val="18"/>
          <w:lang w:eastAsia="en-US"/>
        </w:rPr>
        <w:t>Le patient retire le bouchon du flacon plastique en soulevant la partie supérieure du pot de plomb. Puis il prend dans sa main la partie inférieure du pot plombé contenant la gélule dans le flacon plastique désormais ouvert, et s’en sert comme d’un verre pour avaler la gélule.</w:t>
      </w:r>
    </w:p>
    <w:p w:rsidR="0010008C" w:rsidRPr="00C916CF" w:rsidRDefault="0010008C" w:rsidP="009E7F54">
      <w:pPr>
        <w:spacing w:after="120"/>
        <w:rPr>
          <w:rFonts w:ascii="Arial" w:eastAsia="Calibri" w:hAnsi="Arial" w:cs="Arial"/>
          <w:i/>
          <w:sz w:val="18"/>
          <w:szCs w:val="18"/>
          <w:u w:val="single"/>
          <w:lang w:eastAsia="en-US"/>
        </w:rPr>
      </w:pPr>
    </w:p>
    <w:p w:rsidR="0010008C" w:rsidRDefault="0010008C" w:rsidP="009E7F54">
      <w:pPr>
        <w:spacing w:after="120"/>
        <w:rPr>
          <w:rFonts w:ascii="Arial" w:eastAsia="Calibri" w:hAnsi="Arial" w:cs="Arial"/>
          <w:i/>
          <w:sz w:val="18"/>
          <w:szCs w:val="18"/>
          <w:u w:val="single"/>
          <w:lang w:eastAsia="en-US"/>
        </w:rPr>
      </w:pPr>
    </w:p>
    <w:p w:rsidR="00DC4E28" w:rsidRDefault="00DC4E28" w:rsidP="009E7F54">
      <w:pPr>
        <w:spacing w:after="120"/>
        <w:rPr>
          <w:rFonts w:ascii="Arial" w:eastAsia="Calibri" w:hAnsi="Arial" w:cs="Arial"/>
          <w:i/>
          <w:sz w:val="18"/>
          <w:szCs w:val="18"/>
          <w:u w:val="single"/>
          <w:lang w:eastAsia="en-US"/>
        </w:rPr>
      </w:pPr>
    </w:p>
    <w:p w:rsidR="00DC4E28" w:rsidRDefault="00DC4E28" w:rsidP="009E7F54">
      <w:pPr>
        <w:spacing w:after="120"/>
        <w:rPr>
          <w:rFonts w:ascii="Arial" w:eastAsia="Calibri" w:hAnsi="Arial" w:cs="Arial"/>
          <w:i/>
          <w:sz w:val="18"/>
          <w:szCs w:val="18"/>
          <w:u w:val="single"/>
          <w:lang w:eastAsia="en-US"/>
        </w:rPr>
      </w:pPr>
    </w:p>
    <w:p w:rsidR="00DC4E28" w:rsidRDefault="00DC4E28" w:rsidP="009E7F54">
      <w:pPr>
        <w:spacing w:after="120"/>
        <w:rPr>
          <w:rFonts w:ascii="Arial" w:eastAsia="Calibri" w:hAnsi="Arial" w:cs="Arial"/>
          <w:i/>
          <w:sz w:val="18"/>
          <w:szCs w:val="18"/>
          <w:u w:val="single"/>
          <w:lang w:eastAsia="en-US"/>
        </w:rPr>
      </w:pPr>
    </w:p>
    <w:p w:rsidR="009E7F54" w:rsidRPr="00C916CF" w:rsidRDefault="009E7F54" w:rsidP="009E7F54">
      <w:pPr>
        <w:spacing w:after="120"/>
        <w:rPr>
          <w:rFonts w:ascii="Arial" w:eastAsia="Calibri" w:hAnsi="Arial" w:cs="Arial"/>
          <w:i/>
          <w:sz w:val="18"/>
          <w:szCs w:val="18"/>
          <w:u w:val="single"/>
          <w:lang w:eastAsia="en-US"/>
        </w:rPr>
      </w:pPr>
      <w:r w:rsidRPr="00C916CF">
        <w:rPr>
          <w:rFonts w:ascii="Arial" w:eastAsia="Calibri" w:hAnsi="Arial" w:cs="Arial"/>
          <w:i/>
          <w:sz w:val="18"/>
          <w:szCs w:val="18"/>
          <w:u w:val="single"/>
          <w:lang w:eastAsia="en-US"/>
        </w:rPr>
        <w:t>Principe de fonctionnement (simplifié)</w:t>
      </w:r>
    </w:p>
    <w:p w:rsidR="0070000E" w:rsidRPr="00C916CF" w:rsidRDefault="009E7F54" w:rsidP="00B42C49">
      <w:pPr>
        <w:jc w:val="both"/>
        <w:rPr>
          <w:rFonts w:ascii="Arial" w:eastAsia="Calibri" w:hAnsi="Arial" w:cs="Arial"/>
          <w:sz w:val="18"/>
          <w:szCs w:val="18"/>
          <w:lang w:eastAsia="en-US"/>
        </w:rPr>
      </w:pPr>
      <w:r w:rsidRPr="00C916CF">
        <w:rPr>
          <w:rFonts w:ascii="Arial" w:eastAsia="Calibri" w:hAnsi="Arial" w:cs="Arial"/>
          <w:sz w:val="18"/>
          <w:szCs w:val="18"/>
          <w:lang w:eastAsia="en-US"/>
        </w:rPr>
        <w:t xml:space="preserve">Une fois avalé, l'iode radioactif passe dans le sang. Les cellules thyroïdiennes captent cet iode en circulation. Chaque noyau d’iode radioactif subit une désintégration de type </w:t>
      </w:r>
      <w:r w:rsidRPr="00C916CF">
        <w:rPr>
          <w:rFonts w:ascii="Arial" w:eastAsia="Calibri" w:hAnsi="Arial" w:cs="Arial"/>
          <w:sz w:val="18"/>
          <w:szCs w:val="18"/>
          <w:lang w:eastAsia="en-US"/>
        </w:rPr>
        <w:sym w:font="Symbol" w:char="F062"/>
      </w:r>
      <w:r w:rsidRPr="00C916CF">
        <w:rPr>
          <w:rFonts w:ascii="Arial" w:eastAsia="Calibri" w:hAnsi="Arial" w:cs="Arial"/>
          <w:sz w:val="18"/>
          <w:szCs w:val="18"/>
          <w:vertAlign w:val="superscript"/>
          <w:lang w:eastAsia="en-US"/>
        </w:rPr>
        <w:t>-</w:t>
      </w:r>
      <w:r w:rsidRPr="00C916CF">
        <w:rPr>
          <w:rFonts w:ascii="Arial" w:eastAsia="Calibri" w:hAnsi="Arial" w:cs="Arial"/>
          <w:sz w:val="18"/>
          <w:szCs w:val="18"/>
          <w:lang w:eastAsia="en-US"/>
        </w:rPr>
        <w:t xml:space="preserve"> en formant un noyau fils dans un état excité. </w:t>
      </w:r>
    </w:p>
    <w:p w:rsidR="0010008C" w:rsidRPr="00C916CF" w:rsidRDefault="0010008C" w:rsidP="00B42C49">
      <w:pPr>
        <w:jc w:val="both"/>
        <w:rPr>
          <w:rFonts w:ascii="Arial" w:eastAsia="Calibri" w:hAnsi="Arial" w:cs="Arial"/>
          <w:sz w:val="18"/>
          <w:szCs w:val="18"/>
          <w:lang w:eastAsia="en-US"/>
        </w:rPr>
      </w:pPr>
      <w:r w:rsidRPr="00C916CF">
        <w:rPr>
          <w:rFonts w:ascii="Arial" w:eastAsia="Calibri" w:hAnsi="Arial" w:cs="Arial"/>
          <w:sz w:val="18"/>
          <w:szCs w:val="18"/>
          <w:lang w:eastAsia="en-US"/>
        </w:rPr>
        <w:t xml:space="preserve">Une partie de l'énergie libérée lors de cette désintégration (365 </w:t>
      </w:r>
      <w:proofErr w:type="spellStart"/>
      <w:r w:rsidRPr="00C916CF">
        <w:rPr>
          <w:rFonts w:ascii="Arial" w:eastAsia="Calibri" w:hAnsi="Arial" w:cs="Arial"/>
          <w:sz w:val="18"/>
          <w:szCs w:val="18"/>
          <w:lang w:eastAsia="en-US"/>
        </w:rPr>
        <w:t>keV</w:t>
      </w:r>
      <w:proofErr w:type="spellEnd"/>
      <w:r w:rsidRPr="00C916CF">
        <w:rPr>
          <w:rFonts w:ascii="Arial" w:eastAsia="Calibri" w:hAnsi="Arial" w:cs="Arial"/>
          <w:sz w:val="18"/>
          <w:szCs w:val="18"/>
          <w:lang w:eastAsia="en-US"/>
        </w:rPr>
        <w:t xml:space="preserve">) est convertie en énergie électromagnétique par désexcitation du noyau fils. L'autre partie de l'énergie libérée lors de la désintégration est transmise à la particule </w:t>
      </w:r>
      <w:r w:rsidR="00B42C49">
        <w:rPr>
          <w:rFonts w:ascii="Arial" w:eastAsia="Calibri" w:hAnsi="Arial" w:cs="Arial"/>
          <w:sz w:val="18"/>
          <w:szCs w:val="18"/>
          <w:lang w:eastAsia="en-US"/>
        </w:rPr>
        <w:t>β</w:t>
      </w:r>
      <w:proofErr w:type="gramStart"/>
      <w:r w:rsidRPr="00C916CF">
        <w:rPr>
          <w:rFonts w:ascii="Arial" w:eastAsia="Calibri" w:hAnsi="Arial" w:cs="Arial"/>
          <w:sz w:val="18"/>
          <w:szCs w:val="18"/>
          <w:vertAlign w:val="superscript"/>
          <w:lang w:eastAsia="en-US"/>
        </w:rPr>
        <w:t>-</w:t>
      </w:r>
      <w:r w:rsidRPr="00C916CF">
        <w:rPr>
          <w:rFonts w:ascii="Arial" w:eastAsia="Calibri" w:hAnsi="Arial" w:cs="Arial"/>
          <w:sz w:val="18"/>
          <w:szCs w:val="18"/>
          <w:lang w:eastAsia="en-US"/>
        </w:rPr>
        <w:t xml:space="preserve"> ,</w:t>
      </w:r>
      <w:proofErr w:type="gramEnd"/>
      <w:r w:rsidRPr="00C916CF">
        <w:rPr>
          <w:rFonts w:ascii="Arial" w:eastAsia="Calibri" w:hAnsi="Arial" w:cs="Arial"/>
          <w:sz w:val="18"/>
          <w:szCs w:val="18"/>
          <w:lang w:eastAsia="en-US"/>
        </w:rPr>
        <w:t xml:space="preserve"> expulsée alors à une très grande vitesse.</w:t>
      </w:r>
    </w:p>
    <w:p w:rsidR="009E7F54" w:rsidRPr="00C916CF" w:rsidRDefault="009E7F54" w:rsidP="00B42C49">
      <w:pPr>
        <w:spacing w:after="120"/>
        <w:ind w:right="-1"/>
        <w:jc w:val="both"/>
        <w:rPr>
          <w:rFonts w:ascii="Arial" w:eastAsia="Calibri" w:hAnsi="Arial" w:cs="Arial"/>
          <w:sz w:val="18"/>
          <w:szCs w:val="18"/>
          <w:lang w:eastAsia="en-US"/>
        </w:rPr>
      </w:pPr>
      <w:r w:rsidRPr="00C916CF">
        <w:rPr>
          <w:rFonts w:ascii="Arial" w:eastAsia="Calibri" w:hAnsi="Arial" w:cs="Arial"/>
          <w:sz w:val="18"/>
          <w:szCs w:val="18"/>
          <w:lang w:eastAsia="en-US"/>
        </w:rPr>
        <w:t>Ces particules rapides endommagent les cellules thyroïdiennes qui finissent par être détruites.</w:t>
      </w:r>
    </w:p>
    <w:p w:rsidR="009E7F54" w:rsidRPr="00C916CF" w:rsidRDefault="009E7F54" w:rsidP="00B42C49">
      <w:pPr>
        <w:autoSpaceDE w:val="0"/>
        <w:autoSpaceDN w:val="0"/>
        <w:adjustRightInd w:val="0"/>
        <w:spacing w:after="360"/>
        <w:ind w:right="-1"/>
        <w:jc w:val="both"/>
        <w:rPr>
          <w:rFonts w:ascii="Arial" w:eastAsia="Calibri" w:hAnsi="Arial" w:cs="Arial"/>
          <w:sz w:val="18"/>
          <w:szCs w:val="18"/>
          <w:lang w:eastAsia="en-US"/>
        </w:rPr>
      </w:pPr>
      <w:r w:rsidRPr="00C916CF">
        <w:rPr>
          <w:rFonts w:ascii="Arial" w:eastAsia="Calibri" w:hAnsi="Arial" w:cs="Arial"/>
          <w:sz w:val="18"/>
          <w:szCs w:val="18"/>
          <w:lang w:eastAsia="en-US"/>
        </w:rPr>
        <w:t>Pour que le traitement soit adapté, il faut que les cellules voisines, qui n'utilisent pas l'iode, ne soient pas affectées. Il faut donc que les particules produites lors de la désintégration pénètrent au maximum de quelques millimètres les tissus voisins.</w:t>
      </w:r>
    </w:p>
    <w:p w:rsidR="009E7F54" w:rsidRPr="00C916CF" w:rsidRDefault="009E7F54" w:rsidP="00A570B8">
      <w:pPr>
        <w:pBdr>
          <w:bottom w:val="single" w:sz="4" w:space="1" w:color="auto"/>
        </w:pBdr>
        <w:spacing w:after="160"/>
        <w:rPr>
          <w:rFonts w:ascii="Arial" w:hAnsi="Arial" w:cs="Arial"/>
          <w:b/>
          <w:sz w:val="18"/>
          <w:szCs w:val="18"/>
        </w:rPr>
      </w:pPr>
      <w:r w:rsidRPr="00C916CF">
        <w:rPr>
          <w:rFonts w:ascii="Arial" w:hAnsi="Arial" w:cs="Arial"/>
          <w:b/>
          <w:sz w:val="18"/>
          <w:szCs w:val="18"/>
        </w:rPr>
        <w:t>Profondeur de pénétration d’une particule</w:t>
      </w:r>
      <w:r w:rsidR="00A570B8" w:rsidRPr="00C916CF">
        <w:rPr>
          <w:rFonts w:ascii="Arial" w:hAnsi="Arial" w:cs="Arial"/>
          <w:b/>
          <w:sz w:val="18"/>
          <w:szCs w:val="18"/>
        </w:rPr>
        <w:t> :</w:t>
      </w:r>
    </w:p>
    <w:p w:rsidR="00B42C49" w:rsidRDefault="009E7F54" w:rsidP="00B42C49">
      <w:pPr>
        <w:spacing w:after="120"/>
        <w:jc w:val="both"/>
        <w:rPr>
          <w:rFonts w:ascii="Arial" w:hAnsi="Arial" w:cs="Arial"/>
          <w:sz w:val="18"/>
          <w:szCs w:val="18"/>
        </w:rPr>
      </w:pPr>
      <w:r w:rsidRPr="00C916CF">
        <w:rPr>
          <w:rFonts w:ascii="Arial" w:hAnsi="Arial" w:cs="Arial"/>
          <w:sz w:val="18"/>
          <w:szCs w:val="18"/>
        </w:rPr>
        <w:t xml:space="preserve">La distance qui sépare le point d’entrée de la particule dans le milieu cible du point terminal de sa trajectoire est appelée profondeur de pénétration de la particule. La valeur maximale de cette </w:t>
      </w:r>
      <w:proofErr w:type="gramStart"/>
      <w:r w:rsidRPr="00C916CF">
        <w:rPr>
          <w:rFonts w:ascii="Arial" w:hAnsi="Arial" w:cs="Arial"/>
          <w:sz w:val="18"/>
          <w:szCs w:val="18"/>
        </w:rPr>
        <w:t xml:space="preserve">distance </w:t>
      </w:r>
      <m:oMath>
        <w:proofErr w:type="gramEnd"/>
        <m:sSub>
          <m:sSubPr>
            <m:ctrlPr>
              <w:rPr>
                <w:rFonts w:ascii="Cambria Math" w:hAnsi="Arial" w:cs="Arial"/>
                <w:i/>
              </w:rPr>
            </m:ctrlPr>
          </m:sSubPr>
          <m:e>
            <m:r>
              <w:rPr>
                <w:rFonts w:ascii="Cambria Math" w:hAnsi="Cambria Math" w:cs="Arial"/>
              </w:rPr>
              <m:t>p</m:t>
            </m:r>
          </m:e>
          <m:sub>
            <m:r>
              <w:rPr>
                <w:rFonts w:ascii="Cambria Math" w:hAnsi="Cambria Math" w:cs="Arial"/>
                <w:vertAlign w:val="subscript"/>
              </w:rPr>
              <m:t>max</m:t>
            </m:r>
          </m:sub>
        </m:sSub>
      </m:oMath>
      <w:r w:rsidRPr="00C916CF">
        <w:rPr>
          <w:rFonts w:ascii="Arial" w:hAnsi="Arial" w:cs="Arial"/>
        </w:rPr>
        <w:t>,</w:t>
      </w:r>
      <w:r w:rsidRPr="00C916CF">
        <w:rPr>
          <w:rFonts w:ascii="Arial" w:hAnsi="Arial" w:cs="Arial"/>
          <w:sz w:val="18"/>
          <w:szCs w:val="18"/>
        </w:rPr>
        <w:t xml:space="preserve"> exprimée en centimètres, est donnée par la formule approchée :</w:t>
      </w:r>
      <w:r w:rsidR="00686770" w:rsidRPr="00C916CF">
        <w:rPr>
          <w:rFonts w:ascii="Arial" w:hAnsi="Arial" w:cs="Arial"/>
          <w:sz w:val="18"/>
          <w:szCs w:val="18"/>
        </w:rPr>
        <w:t xml:space="preserve"> </w:t>
      </w:r>
    </w:p>
    <w:p w:rsidR="009E7F54" w:rsidRPr="00C916CF" w:rsidRDefault="002067FE" w:rsidP="00B42C49">
      <w:pPr>
        <w:spacing w:after="120"/>
        <w:jc w:val="both"/>
        <w:rPr>
          <w:rFonts w:ascii="Arial" w:hAnsi="Arial" w:cs="Arial"/>
          <w:sz w:val="18"/>
          <w:szCs w:val="18"/>
        </w:rPr>
      </w:pPr>
      <m:oMathPara>
        <m:oMath>
          <m:sSub>
            <m:sSubPr>
              <m:ctrlPr>
                <w:rPr>
                  <w:rFonts w:ascii="Cambria Math" w:hAnsi="Arial" w:cs="Arial"/>
                  <w:i/>
                  <w:sz w:val="18"/>
                  <w:szCs w:val="18"/>
                </w:rPr>
              </m:ctrlPr>
            </m:sSubPr>
            <m:e>
              <m:r>
                <w:rPr>
                  <w:rFonts w:ascii="Cambria Math" w:hAnsi="Cambria Math" w:cs="Arial"/>
                  <w:sz w:val="18"/>
                  <w:szCs w:val="18"/>
                </w:rPr>
                <m:t>p</m:t>
              </m:r>
            </m:e>
            <m:sub>
              <m:r>
                <w:rPr>
                  <w:rFonts w:ascii="Cambria Math" w:hAnsi="Cambria Math" w:cs="Arial"/>
                  <w:sz w:val="18"/>
                  <w:szCs w:val="18"/>
                  <w:vertAlign w:val="subscript"/>
                </w:rPr>
                <m:t>max</m:t>
              </m:r>
            </m:sub>
          </m:sSub>
          <m:r>
            <w:rPr>
              <w:rFonts w:ascii="Cambria Math" w:hAnsi="Arial" w:cs="Arial"/>
              <w:sz w:val="18"/>
              <w:szCs w:val="18"/>
            </w:rPr>
            <m:t>=</m:t>
          </m:r>
          <m:f>
            <m:fPr>
              <m:ctrlPr>
                <w:rPr>
                  <w:rFonts w:ascii="Cambria Math" w:hAnsi="Arial" w:cs="Arial"/>
                  <w:i/>
                  <w:sz w:val="18"/>
                  <w:szCs w:val="18"/>
                </w:rPr>
              </m:ctrlPr>
            </m:fPr>
            <m:num>
              <m:r>
                <w:rPr>
                  <w:rFonts w:ascii="Cambria Math" w:hAnsi="Arial" w:cs="Arial"/>
                  <w:sz w:val="18"/>
                  <w:szCs w:val="18"/>
                </w:rPr>
                <m:t>0,215</m:t>
              </m:r>
            </m:num>
            <m:den>
              <m:r>
                <w:rPr>
                  <w:rFonts w:ascii="Cambria Math" w:hAnsi="Arial" w:cs="Arial"/>
                  <w:i/>
                  <w:sz w:val="18"/>
                  <w:szCs w:val="18"/>
                </w:rPr>
                <w:sym w:font="Symbol" w:char="F072"/>
              </m:r>
            </m:den>
          </m:f>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E</m:t>
              </m:r>
            </m:e>
            <m:sup>
              <m:r>
                <w:rPr>
                  <w:rFonts w:ascii="Cambria Math" w:hAnsi="Arial" w:cs="Arial"/>
                  <w:sz w:val="18"/>
                  <w:szCs w:val="18"/>
                </w:rPr>
                <m:t>1,66</m:t>
              </m:r>
            </m:sup>
          </m:sSup>
        </m:oMath>
      </m:oMathPara>
    </w:p>
    <w:p w:rsidR="009E7F54" w:rsidRPr="00C916CF" w:rsidRDefault="009E7F54" w:rsidP="00686770">
      <w:pPr>
        <w:spacing w:after="120"/>
        <w:ind w:right="-142"/>
        <w:rPr>
          <w:rFonts w:ascii="Arial" w:hAnsi="Arial" w:cs="Arial"/>
          <w:sz w:val="18"/>
          <w:szCs w:val="18"/>
        </w:rPr>
      </w:pPr>
      <w:proofErr w:type="gramStart"/>
      <w:r w:rsidRPr="00C916CF">
        <w:rPr>
          <w:rFonts w:ascii="Arial" w:hAnsi="Arial" w:cs="Arial"/>
          <w:sz w:val="18"/>
          <w:szCs w:val="18"/>
        </w:rPr>
        <w:t>où</w:t>
      </w:r>
      <w:proofErr w:type="gramEnd"/>
      <w:r w:rsidRPr="00C916CF">
        <w:rPr>
          <w:rFonts w:ascii="Arial" w:hAnsi="Arial" w:cs="Arial"/>
          <w:sz w:val="18"/>
          <w:szCs w:val="18"/>
        </w:rPr>
        <w:t xml:space="preserve">  </w:t>
      </w:r>
      <m:oMath>
        <m:r>
          <w:rPr>
            <w:rFonts w:ascii="Cambria Math" w:hAnsi="Cambria Math" w:cs="Arial"/>
          </w:rPr>
          <m:t>E</m:t>
        </m:r>
      </m:oMath>
      <w:r w:rsidRPr="00C916CF">
        <w:rPr>
          <w:rFonts w:ascii="Arial" w:hAnsi="Arial" w:cs="Arial"/>
          <w:sz w:val="18"/>
          <w:szCs w:val="18"/>
        </w:rPr>
        <w:t xml:space="preserve"> est l’énergie de la particule (exprimée en MeV) et </w:t>
      </w:r>
      <w:r w:rsidRPr="00C916CF">
        <w:rPr>
          <w:rFonts w:ascii="Arial" w:hAnsi="Arial" w:cs="Arial"/>
          <w:i/>
        </w:rPr>
        <w:sym w:font="Symbol" w:char="F072"/>
      </w:r>
      <w:r w:rsidRPr="00C916CF">
        <w:rPr>
          <w:rFonts w:ascii="Arial" w:hAnsi="Arial" w:cs="Arial"/>
          <w:sz w:val="18"/>
          <w:szCs w:val="18"/>
        </w:rPr>
        <w:t xml:space="preserve"> la masse volumique du milieu (exprimé</w:t>
      </w:r>
      <w:r w:rsidR="000510BE" w:rsidRPr="00C916CF">
        <w:rPr>
          <w:rFonts w:ascii="Arial" w:hAnsi="Arial" w:cs="Arial"/>
          <w:sz w:val="18"/>
          <w:szCs w:val="18"/>
        </w:rPr>
        <w:t>e</w:t>
      </w:r>
      <w:r w:rsidRPr="00C916CF">
        <w:rPr>
          <w:rFonts w:ascii="Arial" w:hAnsi="Arial" w:cs="Arial"/>
          <w:sz w:val="18"/>
          <w:szCs w:val="18"/>
        </w:rPr>
        <w:t xml:space="preserve"> en g.cm</w:t>
      </w:r>
      <w:r w:rsidRPr="00C916CF">
        <w:rPr>
          <w:rFonts w:ascii="Arial" w:hAnsi="Arial" w:cs="Arial"/>
          <w:sz w:val="18"/>
          <w:szCs w:val="18"/>
          <w:vertAlign w:val="superscript"/>
        </w:rPr>
        <w:t>-3</w:t>
      </w:r>
      <w:r w:rsidRPr="00C916CF">
        <w:rPr>
          <w:rFonts w:ascii="Arial" w:hAnsi="Arial" w:cs="Arial"/>
          <w:sz w:val="18"/>
          <w:szCs w:val="18"/>
        </w:rPr>
        <w:t>)</w:t>
      </w:r>
    </w:p>
    <w:p w:rsidR="009E7F54" w:rsidRPr="00C916CF" w:rsidRDefault="009E7F54" w:rsidP="00686770">
      <w:pPr>
        <w:pBdr>
          <w:bottom w:val="single" w:sz="4" w:space="1" w:color="auto"/>
        </w:pBdr>
        <w:spacing w:after="160"/>
        <w:rPr>
          <w:rFonts w:ascii="Arial" w:hAnsi="Arial" w:cs="Arial"/>
          <w:b/>
          <w:sz w:val="18"/>
          <w:szCs w:val="18"/>
        </w:rPr>
      </w:pPr>
      <w:r w:rsidRPr="00C916CF">
        <w:rPr>
          <w:rFonts w:ascii="Arial" w:hAnsi="Arial" w:cs="Arial"/>
          <w:b/>
          <w:sz w:val="18"/>
          <w:szCs w:val="18"/>
        </w:rPr>
        <w:t>Protection contre les rayonnements</w:t>
      </w:r>
      <w:r w:rsidR="00686770" w:rsidRPr="00C916CF">
        <w:rPr>
          <w:rFonts w:ascii="Arial" w:hAnsi="Arial" w:cs="Arial"/>
          <w:b/>
          <w:sz w:val="18"/>
          <w:szCs w:val="18"/>
        </w:rPr>
        <w:t> :</w:t>
      </w:r>
    </w:p>
    <w:p w:rsidR="009E7F54" w:rsidRPr="00C916CF" w:rsidRDefault="009E7F54" w:rsidP="009C778C">
      <w:pPr>
        <w:jc w:val="both"/>
        <w:rPr>
          <w:rFonts w:ascii="Arial" w:hAnsi="Arial" w:cs="Arial"/>
          <w:sz w:val="18"/>
          <w:szCs w:val="18"/>
        </w:rPr>
      </w:pPr>
      <w:r w:rsidRPr="00C916CF">
        <w:rPr>
          <w:rFonts w:ascii="Arial" w:hAnsi="Arial" w:cs="Arial"/>
          <w:sz w:val="18"/>
          <w:szCs w:val="18"/>
        </w:rPr>
        <w:t>Une feuille de papier suffit à arrêter un</w:t>
      </w:r>
      <w:r w:rsidRPr="00C916CF">
        <w:rPr>
          <w:rFonts w:ascii="Arial" w:hAnsi="Arial" w:cs="Arial"/>
          <w:bCs/>
          <w:sz w:val="18"/>
          <w:szCs w:val="18"/>
        </w:rPr>
        <w:t xml:space="preserve"> rayonnement </w:t>
      </w:r>
      <w:r w:rsidRPr="00C916CF">
        <w:rPr>
          <w:rFonts w:ascii="Arial" w:hAnsi="Arial" w:cs="Arial"/>
          <w:bCs/>
          <w:sz w:val="18"/>
          <w:szCs w:val="18"/>
        </w:rPr>
        <w:sym w:font="Symbol" w:char="F061"/>
      </w:r>
      <w:r w:rsidRPr="00C916CF">
        <w:rPr>
          <w:rFonts w:ascii="Arial" w:hAnsi="Arial" w:cs="Arial"/>
          <w:bCs/>
          <w:sz w:val="18"/>
          <w:szCs w:val="18"/>
        </w:rPr>
        <w:t xml:space="preserve"> (alpha) </w:t>
      </w:r>
      <w:r w:rsidRPr="00C916CF">
        <w:rPr>
          <w:rFonts w:ascii="Arial" w:hAnsi="Arial" w:cs="Arial"/>
          <w:sz w:val="18"/>
          <w:szCs w:val="18"/>
        </w:rPr>
        <w:t>car sa portée n'est que de quelques centimètres.</w:t>
      </w:r>
    </w:p>
    <w:p w:rsidR="009E7F54" w:rsidRPr="00C916CF" w:rsidRDefault="009E7F54" w:rsidP="009C778C">
      <w:pPr>
        <w:jc w:val="both"/>
        <w:rPr>
          <w:rFonts w:ascii="Arial" w:hAnsi="Arial" w:cs="Arial"/>
          <w:sz w:val="18"/>
          <w:szCs w:val="18"/>
        </w:rPr>
      </w:pPr>
      <w:r w:rsidRPr="00C916CF">
        <w:rPr>
          <w:rFonts w:ascii="Arial" w:hAnsi="Arial" w:cs="Arial"/>
          <w:sz w:val="18"/>
          <w:szCs w:val="18"/>
        </w:rPr>
        <w:t>Le</w:t>
      </w:r>
      <w:r w:rsidRPr="00C916CF">
        <w:rPr>
          <w:rFonts w:ascii="Arial" w:hAnsi="Arial" w:cs="Arial"/>
          <w:bCs/>
          <w:sz w:val="18"/>
          <w:szCs w:val="18"/>
        </w:rPr>
        <w:t xml:space="preserve"> rayonnement </w:t>
      </w:r>
      <w:r w:rsidRPr="00C916CF">
        <w:rPr>
          <w:rFonts w:ascii="Arial" w:hAnsi="Arial" w:cs="Arial"/>
          <w:bCs/>
          <w:sz w:val="18"/>
          <w:szCs w:val="18"/>
        </w:rPr>
        <w:sym w:font="Symbol" w:char="F062"/>
      </w:r>
      <w:r w:rsidRPr="00C916CF">
        <w:rPr>
          <w:rFonts w:ascii="Arial" w:hAnsi="Arial" w:cs="Arial"/>
          <w:bCs/>
          <w:sz w:val="18"/>
          <w:szCs w:val="18"/>
        </w:rPr>
        <w:t xml:space="preserve"> (bêta) </w:t>
      </w:r>
      <w:r w:rsidRPr="00C916CF">
        <w:rPr>
          <w:rFonts w:ascii="Arial" w:hAnsi="Arial" w:cs="Arial"/>
          <w:sz w:val="18"/>
          <w:szCs w:val="18"/>
        </w:rPr>
        <w:t>traverse le papier et n'est arrêté que par une plaque d'aluminium ou de la tôle.</w:t>
      </w:r>
    </w:p>
    <w:p w:rsidR="009E7F54" w:rsidRPr="00C916CF" w:rsidRDefault="009E7F54" w:rsidP="009C778C">
      <w:pPr>
        <w:jc w:val="both"/>
        <w:rPr>
          <w:rFonts w:ascii="Arial" w:hAnsi="Arial" w:cs="Arial"/>
          <w:sz w:val="18"/>
          <w:szCs w:val="18"/>
        </w:rPr>
      </w:pPr>
      <w:r w:rsidRPr="00C916CF">
        <w:rPr>
          <w:rFonts w:ascii="Arial" w:hAnsi="Arial" w:cs="Arial"/>
          <w:sz w:val="18"/>
          <w:szCs w:val="18"/>
        </w:rPr>
        <w:t>Le</w:t>
      </w:r>
      <w:r w:rsidRPr="00C916CF">
        <w:rPr>
          <w:rFonts w:ascii="Arial" w:hAnsi="Arial" w:cs="Arial"/>
          <w:bCs/>
          <w:sz w:val="18"/>
          <w:szCs w:val="18"/>
        </w:rPr>
        <w:t xml:space="preserve"> rayonnement </w:t>
      </w:r>
      <w:r w:rsidRPr="00C916CF">
        <w:rPr>
          <w:rFonts w:ascii="Arial" w:hAnsi="Arial" w:cs="Arial"/>
          <w:bCs/>
          <w:sz w:val="18"/>
          <w:szCs w:val="18"/>
        </w:rPr>
        <w:sym w:font="Symbol" w:char="F067"/>
      </w:r>
      <w:r w:rsidRPr="00C916CF">
        <w:rPr>
          <w:rFonts w:ascii="Arial" w:hAnsi="Arial" w:cs="Arial"/>
          <w:bCs/>
          <w:sz w:val="18"/>
          <w:szCs w:val="18"/>
        </w:rPr>
        <w:t xml:space="preserve"> (gamma) </w:t>
      </w:r>
      <w:r w:rsidRPr="00C916CF">
        <w:rPr>
          <w:rFonts w:ascii="Arial" w:hAnsi="Arial" w:cs="Arial"/>
          <w:sz w:val="18"/>
          <w:szCs w:val="18"/>
        </w:rPr>
        <w:t>traverse sans problème le papier et l'aluminium. Il ne peut être atténué que par un blindage en plomb ou par des murs épais en béton. Ces rayonnements, très énergétiques et très pénétrants, sont dangereux pour l’homme puisqu’ils peuvent provoquer brûlures, cancers et mutations.</w:t>
      </w:r>
    </w:p>
    <w:p w:rsidR="00572A14" w:rsidRPr="00C916CF" w:rsidRDefault="00572A14" w:rsidP="00572A14">
      <w:pPr>
        <w:rPr>
          <w:rFonts w:ascii="Arial" w:hAnsi="Arial" w:cs="Arial"/>
          <w:sz w:val="18"/>
          <w:szCs w:val="18"/>
        </w:rPr>
      </w:pPr>
    </w:p>
    <w:p w:rsidR="009E7F54" w:rsidRPr="00C916CF" w:rsidRDefault="002067FE" w:rsidP="00686770">
      <w:pPr>
        <w:pBdr>
          <w:bottom w:val="single" w:sz="4" w:space="1" w:color="auto"/>
        </w:pBdr>
        <w:spacing w:after="200"/>
        <w:rPr>
          <w:rFonts w:ascii="Arial" w:hAnsi="Arial" w:cs="Arial"/>
          <w:b/>
          <w:sz w:val="18"/>
          <w:szCs w:val="18"/>
        </w:rPr>
      </w:pPr>
      <w:r>
        <w:rPr>
          <w:rFonts w:ascii="Arial" w:hAnsi="Arial" w:cs="Arial"/>
          <w:b/>
          <w:noProof/>
          <w:sz w:val="18"/>
          <w:szCs w:val="18"/>
        </w:rPr>
        <w:pict>
          <v:group id="_x0000_s1112" style="position:absolute;margin-left:6.65pt;margin-top:14.3pt;width:504.65pt;height:118.4pt;z-index:-251578880" coordorigin="984,6519" coordsize="10093,2368">
            <v:rect id="_x0000_s1099" style="position:absolute;left:3581;top:8200;width:183;height:450" o:regroupid="1" stroked="f">
              <o:lock v:ext="edit" aspectratio="t"/>
            </v:rect>
            <v:rect id="_x0000_s1100" style="position:absolute;left:4802;top:8200;width:183;height:570" o:regroupid="1" stroked="f">
              <o:lock v:ext="edit" aspectratio="t"/>
            </v:rect>
            <v:rect id="_x0000_s1101" style="position:absolute;left:5221;top:8200;width:183;height:570" o:regroupid="1" stroked="f">
              <o:lock v:ext="edit" aspectratio="t"/>
            </v:rect>
            <v:rect id="_x0000_s1102" style="position:absolute;left:6023;top:8129;width:183;height:569" o:regroupid="1" stroked="f">
              <o:lock v:ext="edit" aspectratio="t"/>
            </v:rect>
            <v:rect id="_x0000_s1103" style="position:absolute;left:7404;top:8200;width:182;height:570" o:regroupid="1" stroked="f">
              <o:lock v:ext="edit" aspectratio="t"/>
            </v:rect>
            <v:group id="_x0000_s1089" style="position:absolute;left:1147;top:6519;width:8211;height:2368" coordorigin="1781,12171" coordsize="8352,3366" o:regroupid="2">
              <o:lock v:ext="edit" aspectratio="t"/>
              <v:shape id="_x0000_s1090" type="#_x0000_t75" alt="Spectre électromagnÉtique (&gt;80k)" style="position:absolute;left:1781;top:12171;width:8352;height:3366">
                <v:imagedata r:id="rId12" o:title="a4305_electromagnatique_fr_p" gain="71235f" blacklevel="-1311f" grayscale="t"/>
              </v:shape>
              <v:shapetype id="_x0000_t32" coordsize="21600,21600" o:spt="32" o:oned="t" path="m,l21600,21600e" filled="f">
                <v:path arrowok="t" fillok="f" o:connecttype="none"/>
                <o:lock v:ext="edit" shapetype="t"/>
              </v:shapetype>
              <v:shape id="_x0000_s1091" type="#_x0000_t32" style="position:absolute;left:2727;top:12279;width:0;height:1764" o:connectortype="straight" strokeweight=".5pt">
                <o:lock v:ext="edit" aspectratio="t"/>
              </v:shape>
              <v:shape id="_x0000_s1092" type="#_x0000_t32" style="position:absolute;left:3546;top:12279;width:0;height:1764" o:connectortype="straight" strokeweight=".5pt">
                <o:lock v:ext="edit" aspectratio="t"/>
              </v:shape>
              <v:shape id="_x0000_s1093" type="#_x0000_t32" style="position:absolute;left:3996;top:12279;width:0;height:1764" o:connectortype="straight" strokeweight=".5pt">
                <o:lock v:ext="edit" aspectratio="t"/>
              </v:shape>
              <v:shape id="_x0000_s1094" type="#_x0000_t32" style="position:absolute;left:4257;top:12279;width:0;height:1764" o:connectortype="straight" strokeweight=".5pt">
                <o:lock v:ext="edit" aspectratio="t"/>
              </v:shape>
              <v:shape id="_x0000_s1095" type="#_x0000_t32" style="position:absolute;left:5589;top:12279;width:0;height:1764" o:connectortype="straight" strokeweight=".5pt">
                <o:lock v:ext="edit" aspectratio="t"/>
              </v:shape>
              <v:shape id="_x0000_s1096" type="#_x0000_t32" style="position:absolute;left:6408;top:12279;width:0;height:1764" o:connectortype="straight" strokeweight=".5pt">
                <o:lock v:ext="edit" aspectratio="t"/>
              </v:shape>
            </v:group>
            <v:shape id="_x0000_s1097" type="#_x0000_t32" style="position:absolute;left:984;top:7836;width:8812;height:6;flip:y" o:connectortype="straight" o:regroupid="2">
              <v:stroke endarrow="classic" endarrowwidth="narrow"/>
              <o:lock v:ext="edit" aspectratio="t"/>
            </v:shape>
            <v:shapetype id="_x0000_t202" coordsize="21600,21600" o:spt="202" path="m,l,21600r21600,l21600,xe">
              <v:stroke joinstyle="miter"/>
              <v:path gradientshapeok="t" o:connecttype="rect"/>
            </v:shapetype>
            <v:shape id="_x0000_s1098" type="#_x0000_t202" style="position:absolute;left:9471;top:7558;width:1606;height:691;mso-width-relative:margin;mso-height-relative:margin" o:regroupid="2" filled="f" stroked="f">
              <o:lock v:ext="edit" aspectratio="t"/>
              <v:textbox style="mso-next-textbox:#_x0000_s1098">
                <w:txbxContent>
                  <w:p w:rsidR="009E7F54" w:rsidRPr="00A712AF" w:rsidRDefault="009E7F54" w:rsidP="009E7F54">
                    <w:pPr>
                      <w:jc w:val="center"/>
                      <w:rPr>
                        <w:rFonts w:ascii="Comic Sans MS" w:hAnsi="Comic Sans MS"/>
                        <w:sz w:val="18"/>
                        <w:szCs w:val="18"/>
                      </w:rPr>
                    </w:pPr>
                    <w:r w:rsidRPr="00A712AF">
                      <w:rPr>
                        <w:rFonts w:ascii="Comic Sans MS" w:hAnsi="Comic Sans MS"/>
                        <w:sz w:val="18"/>
                        <w:szCs w:val="18"/>
                      </w:rPr>
                      <w:t xml:space="preserve">Longueur d’onde </w:t>
                    </w:r>
                    <w:r w:rsidRPr="00A712AF">
                      <w:rPr>
                        <w:rFonts w:ascii="Comic Sans MS" w:hAnsi="Comic Sans MS"/>
                        <w:sz w:val="18"/>
                        <w:szCs w:val="18"/>
                      </w:rPr>
                      <w:sym w:font="Symbol" w:char="F06C"/>
                    </w:r>
                  </w:p>
                </w:txbxContent>
              </v:textbox>
            </v:shape>
          </v:group>
        </w:pict>
      </w:r>
      <w:r w:rsidR="00A712AF" w:rsidRPr="00C916CF">
        <w:rPr>
          <w:rFonts w:ascii="Arial" w:hAnsi="Arial" w:cs="Arial"/>
          <w:b/>
          <w:sz w:val="18"/>
          <w:szCs w:val="18"/>
        </w:rPr>
        <w:t>Échelle</w:t>
      </w:r>
      <w:r w:rsidR="009E7F54" w:rsidRPr="00C916CF">
        <w:rPr>
          <w:rFonts w:ascii="Arial" w:hAnsi="Arial" w:cs="Arial"/>
          <w:b/>
          <w:sz w:val="18"/>
          <w:szCs w:val="18"/>
        </w:rPr>
        <w:t xml:space="preserve"> des rayonnements électromagnétiques</w:t>
      </w:r>
      <w:r w:rsidR="00686770" w:rsidRPr="00C916CF">
        <w:rPr>
          <w:rFonts w:ascii="Arial" w:hAnsi="Arial" w:cs="Arial"/>
          <w:b/>
          <w:sz w:val="18"/>
          <w:szCs w:val="18"/>
        </w:rPr>
        <w:t> :</w:t>
      </w:r>
    </w:p>
    <w:p w:rsidR="009E7F54" w:rsidRPr="00C916CF" w:rsidRDefault="009E7F54" w:rsidP="009E7F54">
      <w:pPr>
        <w:spacing w:after="240"/>
        <w:rPr>
          <w:rFonts w:ascii="Arial" w:hAnsi="Arial" w:cs="Arial"/>
          <w:sz w:val="18"/>
          <w:szCs w:val="18"/>
        </w:rPr>
      </w:pPr>
    </w:p>
    <w:p w:rsidR="009E7F54" w:rsidRPr="00C916CF" w:rsidRDefault="009E7F54" w:rsidP="009E7F54">
      <w:pPr>
        <w:spacing w:after="240"/>
        <w:rPr>
          <w:rFonts w:ascii="Arial" w:hAnsi="Arial" w:cs="Arial"/>
          <w:sz w:val="18"/>
          <w:szCs w:val="18"/>
        </w:rPr>
      </w:pPr>
    </w:p>
    <w:p w:rsidR="009E7F54" w:rsidRPr="00C916CF" w:rsidRDefault="009E7F54" w:rsidP="009E7F54">
      <w:pPr>
        <w:spacing w:after="240"/>
        <w:rPr>
          <w:rFonts w:ascii="Arial" w:hAnsi="Arial" w:cs="Arial"/>
          <w:sz w:val="18"/>
          <w:szCs w:val="18"/>
        </w:rPr>
      </w:pPr>
    </w:p>
    <w:p w:rsidR="00F9733C" w:rsidRPr="00C916CF" w:rsidRDefault="00F9733C" w:rsidP="00911CEF">
      <w:pPr>
        <w:pBdr>
          <w:bottom w:val="single" w:sz="4" w:space="1" w:color="auto"/>
        </w:pBdr>
        <w:spacing w:after="240"/>
        <w:rPr>
          <w:rFonts w:ascii="Arial" w:hAnsi="Arial" w:cs="Arial"/>
          <w:b/>
          <w:sz w:val="18"/>
          <w:szCs w:val="18"/>
        </w:rPr>
      </w:pPr>
    </w:p>
    <w:p w:rsidR="00132E54" w:rsidRPr="00C916CF" w:rsidRDefault="00132E54" w:rsidP="00F9733C">
      <w:pPr>
        <w:pBdr>
          <w:bottom w:val="single" w:sz="4" w:space="1" w:color="auto"/>
        </w:pBdr>
        <w:rPr>
          <w:rFonts w:ascii="Arial" w:hAnsi="Arial" w:cs="Arial"/>
          <w:b/>
          <w:sz w:val="18"/>
          <w:szCs w:val="18"/>
        </w:rPr>
      </w:pPr>
    </w:p>
    <w:p w:rsidR="009E7F54" w:rsidRPr="00C916CF" w:rsidRDefault="009E7F54" w:rsidP="00F9733C">
      <w:pPr>
        <w:pBdr>
          <w:bottom w:val="single" w:sz="4" w:space="1" w:color="auto"/>
        </w:pBdr>
        <w:rPr>
          <w:rFonts w:ascii="Arial" w:hAnsi="Arial" w:cs="Arial"/>
          <w:b/>
          <w:sz w:val="18"/>
          <w:szCs w:val="18"/>
        </w:rPr>
      </w:pPr>
      <w:r w:rsidRPr="00C916CF">
        <w:rPr>
          <w:rFonts w:ascii="Arial" w:hAnsi="Arial" w:cs="Arial"/>
          <w:b/>
          <w:sz w:val="18"/>
          <w:szCs w:val="18"/>
        </w:rPr>
        <w:t>Extrait du diagramme de Segré</w:t>
      </w:r>
      <w:r w:rsidR="000F287F" w:rsidRPr="00C916CF">
        <w:rPr>
          <w:rFonts w:ascii="Arial" w:hAnsi="Arial" w:cs="Arial"/>
          <w:b/>
          <w:sz w:val="18"/>
          <w:szCs w:val="18"/>
        </w:rPr>
        <w:t> :</w:t>
      </w:r>
    </w:p>
    <w:p w:rsidR="00267023" w:rsidRPr="00C916CF" w:rsidRDefault="002067FE" w:rsidP="00F9733C">
      <w:pPr>
        <w:ind w:right="-2"/>
        <w:jc w:val="both"/>
        <w:rPr>
          <w:rFonts w:ascii="Arial" w:hAnsi="Arial" w:cs="Arial"/>
          <w:sz w:val="18"/>
          <w:szCs w:val="18"/>
        </w:rPr>
      </w:pPr>
      <w:r w:rsidRPr="002067FE">
        <w:rPr>
          <w:rFonts w:ascii="Arial" w:hAnsi="Arial" w:cs="Arial"/>
          <w:noProof/>
        </w:rPr>
        <w:pict>
          <v:group id="_x0000_s1211" style="position:absolute;left:0;text-align:left;margin-left:-28.85pt;margin-top:10.75pt;width:566pt;height:186.15pt;z-index:251763200" coordorigin="274,10404" coordsize="11320,3723">
            <v:shape id="_x0000_s1168" type="#_x0000_t202" style="position:absolute;left:11113;top:13785;width:481;height:342" o:regroupid="5" filled="f" stroked="f">
              <v:textbox style="mso-next-textbox:#_x0000_s1168" inset="0,0,0,0">
                <w:txbxContent>
                  <w:p w:rsidR="00703869" w:rsidRPr="009376AE" w:rsidRDefault="00703869" w:rsidP="009E7F54">
                    <w:pPr>
                      <w:pStyle w:val="En-tte"/>
                      <w:tabs>
                        <w:tab w:val="clear" w:pos="4536"/>
                        <w:tab w:val="clear" w:pos="9072"/>
                      </w:tabs>
                      <w:jc w:val="right"/>
                      <w:rPr>
                        <w:rFonts w:ascii="Comic Sans MS" w:hAnsi="Comic Sans MS"/>
                        <w:sz w:val="20"/>
                        <w:szCs w:val="20"/>
                      </w:rPr>
                    </w:pPr>
                    <w:r w:rsidRPr="009376AE">
                      <w:rPr>
                        <w:rFonts w:ascii="Comic Sans MS" w:hAnsi="Comic Sans MS"/>
                        <w:sz w:val="20"/>
                        <w:szCs w:val="20"/>
                      </w:rPr>
                      <w:t>Z</w:t>
                    </w:r>
                  </w:p>
                </w:txbxContent>
              </v:textbox>
            </v:shape>
            <v:shape id="_x0000_s1170" type="#_x0000_t202" style="position:absolute;left:274;top:10542;width:482;height:271" o:regroupid="5" filled="f" stroked="f">
              <v:textbox style="mso-next-textbox:#_x0000_s1170" inset="0,0,0,0">
                <w:txbxContent>
                  <w:p w:rsidR="00703869" w:rsidRPr="009376AE" w:rsidRDefault="00703869" w:rsidP="00615330">
                    <w:pPr>
                      <w:pStyle w:val="En-tte"/>
                      <w:tabs>
                        <w:tab w:val="clear" w:pos="4536"/>
                        <w:tab w:val="clear" w:pos="9072"/>
                      </w:tabs>
                      <w:jc w:val="center"/>
                      <w:rPr>
                        <w:rFonts w:ascii="Comic Sans MS" w:hAnsi="Comic Sans MS"/>
                        <w:sz w:val="20"/>
                        <w:szCs w:val="20"/>
                      </w:rPr>
                    </w:pPr>
                    <w:r w:rsidRPr="009376AE">
                      <w:rPr>
                        <w:rFonts w:ascii="Comic Sans MS" w:hAnsi="Comic Sans MS"/>
                        <w:sz w:val="20"/>
                        <w:szCs w:val="20"/>
                      </w:rPr>
                      <w:t>N</w:t>
                    </w:r>
                  </w:p>
                </w:txbxContent>
              </v:textbox>
            </v:shape>
            <v:shape id="_x0000_s1177" type="#_x0000_t32" style="position:absolute;left:11475;top:10404;width:0;height:3330" o:connectortype="straight" o:regroupid="5" strokeweight="1pt">
              <v:stroke endarrow="block"/>
            </v:shape>
            <v:shape id="_x0000_s1178" type="#_x0000_t32" style="position:absolute;left:532;top:10462;width:11039;height:0;flip:x" o:connectortype="straight" o:regroupid="5" strokeweight="1pt">
              <v:stroke endarrow="block"/>
            </v:shape>
          </v:group>
        </w:pict>
      </w:r>
    </w:p>
    <w:tbl>
      <w:tblPr>
        <w:tblpPr w:leftFromText="141" w:rightFromText="141" w:vertAnchor="text" w:horzAnchor="margin" w:tblpY="32"/>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8"/>
        <w:gridCol w:w="1188"/>
        <w:gridCol w:w="1189"/>
        <w:gridCol w:w="1188"/>
        <w:gridCol w:w="1189"/>
        <w:gridCol w:w="1188"/>
        <w:gridCol w:w="1189"/>
        <w:gridCol w:w="1188"/>
        <w:gridCol w:w="1189"/>
      </w:tblGrid>
      <w:tr w:rsidR="00615330" w:rsidRPr="00C916CF" w:rsidTr="006748FE">
        <w:trPr>
          <w:trHeight w:val="981"/>
        </w:trPr>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25" type="#_x0000_t75" style="width:28pt;height:19pt">
                  <v:imagedata r:id="rId13"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129,8777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26" type="#_x0000_t75" style="width:28pt;height:19pt">
                  <v:imagedata r:id="rId14"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128,8781 u</w:t>
            </w:r>
          </w:p>
        </w:tc>
        <w:tc>
          <w:tcPr>
            <w:tcW w:w="1189"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27" type="#_x0000_t75" style="width:28pt;height:19pt">
                  <v:imagedata r:id="rId15"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127,8759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28" type="#_x0000_t75" style="width:28pt;height:19pt">
                  <v:imagedata r:id="rId16"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126,8767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color w:val="FFFFFF"/>
              </w:rPr>
            </w:pPr>
            <w:r w:rsidRPr="002067FE">
              <w:rPr>
                <w:rFonts w:ascii="Arial" w:hAnsi="Arial" w:cs="Arial"/>
                <w:color w:val="FFFFFF"/>
                <w:position w:val="-10"/>
              </w:rPr>
              <w:pict>
                <v:shape id="_x0000_i1029" type="#_x0000_t75" style="width:28pt;height:19pt">
                  <v:imagedata r:id="rId17"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color w:val="FFFFFF"/>
              </w:rPr>
            </w:pPr>
            <w:r w:rsidRPr="00C916CF">
              <w:rPr>
                <w:rFonts w:ascii="Arial" w:hAnsi="Arial" w:cs="Arial"/>
                <w:sz w:val="16"/>
                <w:szCs w:val="16"/>
              </w:rPr>
              <w:t>125,8748 u</w:t>
            </w:r>
          </w:p>
        </w:tc>
        <w:tc>
          <w:tcPr>
            <w:tcW w:w="1188"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0" type="#_x0000_t75" style="width:28pt;height:19pt">
                  <v:imagedata r:id="rId18"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124,8759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1" type="#_x0000_t75" style="width:28pt;height:19pt">
                  <v:imagedata r:id="rId19"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123,8743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2" type="#_x0000_t75" style="width:27pt;height:19pt">
                  <v:imagedata r:id="rId20" o:title=""/>
                </v:shape>
              </w:pict>
            </w:r>
          </w:p>
          <w:p w:rsidR="006748FE" w:rsidRPr="00C916CF" w:rsidRDefault="006748FE" w:rsidP="006748FE">
            <w:pPr>
              <w:jc w:val="center"/>
              <w:rPr>
                <w:rFonts w:ascii="Arial" w:hAnsi="Arial" w:cs="Arial"/>
                <w:sz w:val="16"/>
                <w:szCs w:val="16"/>
              </w:rPr>
            </w:pPr>
            <w:r w:rsidRPr="00C916CF">
              <w:rPr>
                <w:rFonts w:ascii="Arial" w:hAnsi="Arial" w:cs="Arial"/>
                <w:sz w:val="16"/>
                <w:szCs w:val="16"/>
              </w:rPr>
              <w:t>c e</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122,8757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3" type="#_x0000_t75" style="width:28pt;height:19pt">
                  <v:imagedata r:id="rId21"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sz w:val="18"/>
                <w:szCs w:val="18"/>
              </w:rPr>
            </w:pPr>
            <w:r w:rsidRPr="00C916CF">
              <w:rPr>
                <w:rFonts w:ascii="Arial" w:hAnsi="Arial" w:cs="Arial"/>
                <w:sz w:val="16"/>
                <w:szCs w:val="16"/>
              </w:rPr>
              <w:t>121,8745 u</w:t>
            </w:r>
          </w:p>
        </w:tc>
      </w:tr>
      <w:tr w:rsidR="00615330" w:rsidRPr="00C916CF" w:rsidTr="006748FE">
        <w:trPr>
          <w:trHeight w:val="981"/>
        </w:trPr>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4" type="#_x0000_t75" style="width:24.5pt;height:23pt">
                  <v:imagedata r:id="rId22"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130,8771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5" type="#_x0000_t75" style="width:23pt;height:22pt">
                  <v:imagedata r:id="rId23"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129,8776 u</w:t>
            </w:r>
          </w:p>
        </w:tc>
        <w:tc>
          <w:tcPr>
            <w:tcW w:w="1189"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6" type="#_x0000_t75" style="width:22.5pt;height:21.5pt">
                  <v:imagedata r:id="rId24"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128,8759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7" type="#_x0000_t75" style="width:22pt;height:20.5pt">
                  <v:imagedata r:id="rId25"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127,8767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color w:val="FFFFFF"/>
              </w:rPr>
            </w:pPr>
            <w:r w:rsidRPr="002067FE">
              <w:rPr>
                <w:rFonts w:ascii="Arial" w:hAnsi="Arial" w:cs="Arial"/>
                <w:color w:val="FFFFFF"/>
                <w:position w:val="-10"/>
              </w:rPr>
              <w:pict>
                <v:shape id="_x0000_i1038" type="#_x0000_t75" style="width:22pt;height:20.5pt">
                  <v:imagedata r:id="rId26"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126,8754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39" type="#_x0000_t75" style="width:22pt;height:20pt">
                  <v:imagedata r:id="rId27"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125,8765 u</w:t>
            </w:r>
          </w:p>
        </w:tc>
        <w:tc>
          <w:tcPr>
            <w:tcW w:w="1189"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0" type="#_x0000_t75" style="width:22pt;height:20pt">
                  <v:imagedata r:id="rId28" o:title=""/>
                </v:shape>
              </w:pict>
            </w:r>
          </w:p>
          <w:p w:rsidR="00615330" w:rsidRPr="00C916CF" w:rsidRDefault="006748FE" w:rsidP="00F9733C">
            <w:pPr>
              <w:jc w:val="center"/>
              <w:rPr>
                <w:rFonts w:ascii="Arial" w:hAnsi="Arial" w:cs="Arial"/>
                <w:sz w:val="16"/>
                <w:szCs w:val="16"/>
              </w:rPr>
            </w:pPr>
            <w:r w:rsidRPr="00C916CF">
              <w:rPr>
                <w:rFonts w:ascii="Arial" w:hAnsi="Arial" w:cs="Arial"/>
                <w:sz w:val="16"/>
                <w:szCs w:val="16"/>
              </w:rPr>
              <w:t>c 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124,8755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1" type="#_x0000_t75" style="width:22.5pt;height:21.5pt">
                  <v:imagedata r:id="rId29"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123,8771 u</w:t>
            </w:r>
          </w:p>
        </w:tc>
        <w:tc>
          <w:tcPr>
            <w:tcW w:w="1189"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2" type="#_x0000_t75" style="width:22pt;height:20.5pt">
                  <v:imagedata r:id="rId30"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122,8765 u</w:t>
            </w:r>
          </w:p>
        </w:tc>
      </w:tr>
      <w:tr w:rsidR="00615330" w:rsidRPr="00C916CF" w:rsidTr="006748FE">
        <w:trPr>
          <w:trHeight w:val="981"/>
        </w:trPr>
        <w:tc>
          <w:tcPr>
            <w:tcW w:w="1188"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3" type="#_x0000_t75" style="width:29.5pt;height:19pt">
                  <v:imagedata r:id="rId31"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131,8745 u</w:t>
            </w:r>
          </w:p>
        </w:tc>
        <w:tc>
          <w:tcPr>
            <w:tcW w:w="1188"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4" type="#_x0000_t75" style="width:28.5pt;height:19pt">
                  <v:imagedata r:id="rId32"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130,8755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5" type="#_x0000_t75" style="width:29.5pt;height:19pt">
                  <v:imagedata r:id="rId33"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129,8739 u</w:t>
            </w:r>
          </w:p>
        </w:tc>
        <w:tc>
          <w:tcPr>
            <w:tcW w:w="1188"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6" type="#_x0000_t75" style="width:29.5pt;height:19pt">
                  <v:imagedata r:id="rId34"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128,8752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7" type="#_x0000_t75" style="width:29.5pt;height:19pt">
                  <v:imagedata r:id="rId35"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127,8739 u</w:t>
            </w:r>
          </w:p>
        </w:tc>
        <w:tc>
          <w:tcPr>
            <w:tcW w:w="1188" w:type="dxa"/>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8" type="#_x0000_t75" style="width:29.5pt;height:19pt">
                  <v:imagedata r:id="rId36" o:title=""/>
                </v:shape>
              </w:pict>
            </w:r>
          </w:p>
          <w:p w:rsidR="006748FE" w:rsidRPr="00C916CF" w:rsidRDefault="006748FE" w:rsidP="006748FE">
            <w:pPr>
              <w:jc w:val="center"/>
              <w:rPr>
                <w:rFonts w:ascii="Arial" w:hAnsi="Arial" w:cs="Arial"/>
                <w:sz w:val="16"/>
                <w:szCs w:val="16"/>
              </w:rPr>
            </w:pPr>
            <w:r w:rsidRPr="00C916CF">
              <w:rPr>
                <w:rFonts w:ascii="Arial" w:hAnsi="Arial" w:cs="Arial"/>
                <w:sz w:val="16"/>
                <w:szCs w:val="16"/>
              </w:rPr>
              <w:t>c 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126,8756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49" type="#_x0000_t75" style="width:29.5pt;height:19pt">
                  <v:imagedata r:id="rId37"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125,8746 u</w:t>
            </w:r>
          </w:p>
        </w:tc>
        <w:tc>
          <w:tcPr>
            <w:tcW w:w="1188" w:type="dxa"/>
            <w:tcBorders>
              <w:bottom w:val="single" w:sz="4" w:space="0" w:color="auto"/>
            </w:tcBorders>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50" type="#_x0000_t75" style="width:29.5pt;height:19pt">
                  <v:imagedata r:id="rId38"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sym w:font="Symbol" w:char="F062"/>
            </w:r>
            <w:r w:rsidRPr="00C916CF">
              <w:rPr>
                <w:rFonts w:ascii="Arial" w:hAnsi="Arial" w:cs="Arial"/>
                <w:sz w:val="16"/>
                <w:szCs w:val="16"/>
                <w:vertAlign w:val="superscript"/>
              </w:rPr>
              <w:t>+</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124,8768 u</w:t>
            </w:r>
          </w:p>
        </w:tc>
        <w:tc>
          <w:tcPr>
            <w:tcW w:w="1189" w:type="dxa"/>
            <w:shd w:val="clear" w:color="auto" w:fill="D9D9D9" w:themeFill="background1" w:themeFillShade="D9"/>
            <w:vAlign w:val="center"/>
          </w:tcPr>
          <w:p w:rsidR="00615330" w:rsidRPr="00C916CF" w:rsidRDefault="002067FE" w:rsidP="00F9733C">
            <w:pPr>
              <w:jc w:val="center"/>
              <w:rPr>
                <w:rFonts w:ascii="Arial" w:hAnsi="Arial" w:cs="Arial"/>
              </w:rPr>
            </w:pPr>
            <w:r w:rsidRPr="002067FE">
              <w:rPr>
                <w:rFonts w:ascii="Arial" w:hAnsi="Arial" w:cs="Arial"/>
                <w:position w:val="-10"/>
              </w:rPr>
              <w:pict>
                <v:shape id="_x0000_i1051" type="#_x0000_t75" style="width:29.5pt;height:19pt">
                  <v:imagedata r:id="rId39" o:title=""/>
                </v:shape>
              </w:pict>
            </w:r>
          </w:p>
          <w:p w:rsidR="00615330" w:rsidRPr="00C916CF" w:rsidRDefault="00615330" w:rsidP="00F9733C">
            <w:pPr>
              <w:jc w:val="center"/>
              <w:rPr>
                <w:rFonts w:ascii="Arial" w:hAnsi="Arial" w:cs="Arial"/>
                <w:sz w:val="16"/>
                <w:szCs w:val="16"/>
              </w:rPr>
            </w:pPr>
            <w:r w:rsidRPr="00C916CF">
              <w:rPr>
                <w:rFonts w:ascii="Arial" w:hAnsi="Arial" w:cs="Arial"/>
                <w:sz w:val="16"/>
                <w:szCs w:val="16"/>
              </w:rPr>
              <w:t>Stable</w:t>
            </w:r>
          </w:p>
          <w:p w:rsidR="00615330" w:rsidRPr="00C916CF" w:rsidRDefault="00615330" w:rsidP="00F9733C">
            <w:pPr>
              <w:jc w:val="center"/>
              <w:rPr>
                <w:rFonts w:ascii="Arial" w:hAnsi="Arial" w:cs="Arial"/>
                <w:noProof/>
                <w:sz w:val="18"/>
                <w:szCs w:val="18"/>
              </w:rPr>
            </w:pPr>
            <w:r w:rsidRPr="00C916CF">
              <w:rPr>
                <w:rFonts w:ascii="Arial" w:hAnsi="Arial" w:cs="Arial"/>
                <w:sz w:val="16"/>
                <w:szCs w:val="16"/>
              </w:rPr>
              <w:t>123,8763 u</w:t>
            </w:r>
          </w:p>
        </w:tc>
      </w:tr>
    </w:tbl>
    <w:p w:rsidR="00132E54" w:rsidRPr="00C916CF" w:rsidRDefault="00132E54" w:rsidP="00F9733C">
      <w:pPr>
        <w:ind w:right="-2"/>
        <w:jc w:val="both"/>
        <w:rPr>
          <w:rFonts w:ascii="Arial" w:hAnsi="Arial" w:cs="Arial"/>
          <w:sz w:val="18"/>
          <w:szCs w:val="18"/>
        </w:rPr>
      </w:pPr>
    </w:p>
    <w:p w:rsidR="009E7F54" w:rsidRPr="00C916CF" w:rsidRDefault="009E7F54" w:rsidP="009C778C">
      <w:pPr>
        <w:ind w:right="-2"/>
        <w:jc w:val="both"/>
        <w:rPr>
          <w:rFonts w:ascii="Arial" w:hAnsi="Arial" w:cs="Arial"/>
          <w:color w:val="000000"/>
          <w:sz w:val="18"/>
          <w:szCs w:val="18"/>
        </w:rPr>
      </w:pPr>
      <w:r w:rsidRPr="00C916CF">
        <w:rPr>
          <w:rFonts w:ascii="Arial" w:hAnsi="Arial" w:cs="Arial"/>
          <w:sz w:val="18"/>
          <w:szCs w:val="18"/>
        </w:rPr>
        <w:t>Dans chaque case sont indiqués</w:t>
      </w:r>
      <w:r w:rsidRPr="00C916CF">
        <w:rPr>
          <w:rFonts w:ascii="Arial" w:hAnsi="Arial" w:cs="Arial"/>
          <w:color w:val="000000"/>
          <w:sz w:val="18"/>
          <w:szCs w:val="18"/>
        </w:rPr>
        <w:t xml:space="preserve"> successivement le symbole du noyau, le type de désintégration puis la masse du noyau exprimée en unités de masse atomique u.</w:t>
      </w:r>
    </w:p>
    <w:p w:rsidR="00F9733C" w:rsidRPr="00C916CF" w:rsidRDefault="006748FE" w:rsidP="009C778C">
      <w:pPr>
        <w:jc w:val="both"/>
        <w:rPr>
          <w:rFonts w:ascii="Arial" w:hAnsi="Arial" w:cs="Arial"/>
          <w:color w:val="000000"/>
          <w:sz w:val="18"/>
          <w:szCs w:val="18"/>
        </w:rPr>
      </w:pPr>
      <w:r w:rsidRPr="00C916CF">
        <w:rPr>
          <w:rFonts w:ascii="Arial" w:hAnsi="Arial" w:cs="Arial"/>
          <w:color w:val="000000"/>
          <w:sz w:val="18"/>
          <w:szCs w:val="18"/>
        </w:rPr>
        <w:t xml:space="preserve">L’indication « c </w:t>
      </w:r>
      <w:r w:rsidR="009E7F54" w:rsidRPr="00C916CF">
        <w:rPr>
          <w:rFonts w:ascii="Arial" w:hAnsi="Arial" w:cs="Arial"/>
          <w:color w:val="000000"/>
          <w:sz w:val="18"/>
          <w:szCs w:val="18"/>
        </w:rPr>
        <w:t>e » signifie « capture électronique », phénomène durant lequel un proton est converti en neutron par la capture d'un électron par le noyau.</w:t>
      </w:r>
    </w:p>
    <w:p w:rsidR="00F9733C" w:rsidRPr="00C916CF" w:rsidRDefault="00F9733C" w:rsidP="00F9733C">
      <w:pPr>
        <w:jc w:val="both"/>
        <w:rPr>
          <w:rFonts w:ascii="Arial" w:hAnsi="Arial" w:cs="Arial"/>
          <w:color w:val="000000"/>
          <w:sz w:val="18"/>
          <w:szCs w:val="18"/>
        </w:rPr>
      </w:pPr>
    </w:p>
    <w:p w:rsidR="009E7F54" w:rsidRPr="00C916CF" w:rsidRDefault="009E7F54" w:rsidP="009376AE">
      <w:pPr>
        <w:pBdr>
          <w:bottom w:val="single" w:sz="4" w:space="1" w:color="auto"/>
        </w:pBdr>
        <w:jc w:val="both"/>
        <w:rPr>
          <w:rFonts w:ascii="Arial" w:hAnsi="Arial" w:cs="Arial"/>
          <w:spacing w:val="2"/>
          <w:sz w:val="18"/>
          <w:szCs w:val="18"/>
        </w:rPr>
      </w:pPr>
      <w:r w:rsidRPr="00C916CF">
        <w:rPr>
          <w:rFonts w:ascii="Arial" w:hAnsi="Arial" w:cs="Arial"/>
          <w:spacing w:val="2"/>
          <w:sz w:val="18"/>
          <w:szCs w:val="18"/>
        </w:rPr>
        <w:t>Données:</w:t>
      </w:r>
    </w:p>
    <w:p w:rsidR="00F9733C" w:rsidRPr="00DC4E28" w:rsidRDefault="009E7F54" w:rsidP="00F9733C">
      <w:pPr>
        <w:tabs>
          <w:tab w:val="left" w:pos="3828"/>
        </w:tabs>
        <w:ind w:right="-573"/>
        <w:rPr>
          <w:rFonts w:ascii="Arial" w:hAnsi="Arial" w:cs="Arial"/>
          <w:sz w:val="24"/>
          <w:lang w:val="en-US"/>
        </w:rPr>
      </w:pPr>
      <w:r w:rsidRPr="00DC4E28">
        <w:rPr>
          <w:rFonts w:ascii="Arial" w:hAnsi="Arial" w:cs="Arial"/>
          <w:position w:val="-16"/>
          <w:sz w:val="24"/>
        </w:rPr>
        <w:object w:dxaOrig="1380" w:dyaOrig="360">
          <v:shape id="_x0000_i1052" type="#_x0000_t75" style="width:69.5pt;height:18pt" o:ole="">
            <v:imagedata r:id="rId40" o:title=""/>
          </v:shape>
          <o:OLEObject Type="Embed" ProgID="Equation.3" ShapeID="_x0000_i1052" DrawAspect="Content" ObjectID="_1502537881" r:id="rId41"/>
        </w:object>
      </w:r>
      <w:r w:rsidR="00F9733C" w:rsidRPr="00DC4E28">
        <w:rPr>
          <w:rFonts w:ascii="Arial" w:hAnsi="Arial" w:cs="Arial"/>
          <w:sz w:val="24"/>
          <w:lang w:val="en-US"/>
        </w:rPr>
        <w:t xml:space="preserve">    ; </w:t>
      </w:r>
      <w:r w:rsidRPr="00DC4E28">
        <w:rPr>
          <w:rFonts w:ascii="Arial" w:hAnsi="Arial" w:cs="Arial"/>
          <w:sz w:val="24"/>
          <w:lang w:val="en-US"/>
        </w:rPr>
        <w:t xml:space="preserve"> </w:t>
      </w:r>
      <w:r w:rsidR="00F9733C" w:rsidRPr="00DC4E28">
        <w:rPr>
          <w:rFonts w:ascii="Arial" w:hAnsi="Arial" w:cs="Arial"/>
          <w:sz w:val="24"/>
          <w:lang w:val="en-US"/>
        </w:rPr>
        <w:t xml:space="preserve"> </w:t>
      </w:r>
      <w:r w:rsidRPr="00DC4E28">
        <w:rPr>
          <w:rFonts w:ascii="Arial" w:hAnsi="Arial" w:cs="Arial"/>
          <w:position w:val="-16"/>
          <w:sz w:val="24"/>
        </w:rPr>
        <w:object w:dxaOrig="1260" w:dyaOrig="360">
          <v:shape id="_x0000_i1053" type="#_x0000_t75" style="width:63.5pt;height:18pt" o:ole="">
            <v:imagedata r:id="rId42" o:title=""/>
          </v:shape>
          <o:OLEObject Type="Embed" ProgID="Equation.3" ShapeID="_x0000_i1053" DrawAspect="Content" ObjectID="_1502537882" r:id="rId43"/>
        </w:object>
      </w:r>
      <w:r w:rsidRPr="00DC4E28">
        <w:rPr>
          <w:rFonts w:ascii="Arial" w:hAnsi="Arial" w:cs="Arial"/>
          <w:sz w:val="24"/>
          <w:lang w:val="en-US"/>
        </w:rPr>
        <w:t xml:space="preserve"> </w:t>
      </w:r>
      <w:r w:rsidR="00F9733C" w:rsidRPr="00DC4E28">
        <w:rPr>
          <w:rFonts w:ascii="Arial" w:hAnsi="Arial" w:cs="Arial"/>
          <w:sz w:val="24"/>
          <w:lang w:val="en-US"/>
        </w:rPr>
        <w:t xml:space="preserve">  ; </w:t>
      </w:r>
      <w:r w:rsidRPr="00DC4E28">
        <w:rPr>
          <w:rFonts w:ascii="Arial" w:hAnsi="Arial" w:cs="Arial"/>
          <w:sz w:val="24"/>
          <w:lang w:val="en-US"/>
        </w:rPr>
        <w:t xml:space="preserve">  </w:t>
      </w:r>
      <w:r w:rsidRPr="00DC4E28">
        <w:rPr>
          <w:rFonts w:ascii="Arial" w:hAnsi="Arial" w:cs="Arial"/>
          <w:position w:val="-16"/>
          <w:sz w:val="24"/>
        </w:rPr>
        <w:object w:dxaOrig="1240" w:dyaOrig="360">
          <v:shape id="_x0000_i1054" type="#_x0000_t75" style="width:62.5pt;height:18pt" o:ole="">
            <v:imagedata r:id="rId44" o:title=""/>
          </v:shape>
          <o:OLEObject Type="Embed" ProgID="Equation.3" ShapeID="_x0000_i1054" DrawAspect="Content" ObjectID="_1502537883" r:id="rId45"/>
        </w:object>
      </w:r>
      <w:r w:rsidR="00F9733C" w:rsidRPr="00DC4E28">
        <w:rPr>
          <w:rFonts w:ascii="Arial" w:hAnsi="Arial" w:cs="Arial"/>
          <w:sz w:val="24"/>
          <w:lang w:val="en-US"/>
        </w:rPr>
        <w:t>.</w:t>
      </w:r>
      <w:r w:rsidRPr="00DC4E28">
        <w:rPr>
          <w:rFonts w:ascii="Arial" w:hAnsi="Arial" w:cs="Arial"/>
          <w:sz w:val="24"/>
          <w:lang w:val="en-US"/>
        </w:rPr>
        <w:t xml:space="preserve"> </w:t>
      </w:r>
      <w:r w:rsidR="00F9733C" w:rsidRPr="00DC4E28">
        <w:rPr>
          <w:rFonts w:ascii="Arial" w:hAnsi="Arial" w:cs="Arial"/>
          <w:sz w:val="24"/>
          <w:lang w:val="en-US"/>
        </w:rPr>
        <w:t xml:space="preserve">         </w:t>
      </w:r>
    </w:p>
    <w:p w:rsidR="009E7F54" w:rsidRPr="00DC4E28" w:rsidRDefault="008C7C95" w:rsidP="00F9733C">
      <w:pPr>
        <w:tabs>
          <w:tab w:val="left" w:pos="3828"/>
        </w:tabs>
        <w:ind w:right="-573"/>
        <w:rPr>
          <w:oMath/>
          <w:rFonts w:ascii="Cambria Math" w:hAnsi="Arial" w:cs="Arial"/>
          <w:sz w:val="22"/>
          <w:szCs w:val="18"/>
          <w:lang w:val="en-US"/>
        </w:rPr>
      </w:pPr>
      <m:oMathPara>
        <m:oMathParaPr>
          <m:jc m:val="left"/>
        </m:oMathParaPr>
        <m:oMath>
          <m:r>
            <m:rPr>
              <m:sty m:val="p"/>
            </m:rPr>
            <w:rPr>
              <w:rFonts w:ascii="Cambria Math" w:hAnsi="Arial" w:cs="Arial"/>
              <w:sz w:val="22"/>
              <w:szCs w:val="18"/>
              <w:lang w:val="en-US"/>
            </w:rPr>
            <m:t>1 u=1,66054</m:t>
          </m:r>
          <m:r>
            <m:rPr>
              <m:sty m:val="p"/>
            </m:rPr>
            <w:rPr>
              <w:rFonts w:ascii="Cambria Math" w:hAnsi="Arial" w:cs="Arial"/>
              <w:sz w:val="22"/>
              <w:szCs w:val="18"/>
              <w:lang w:val="en-US"/>
            </w:rPr>
            <m:t>×</m:t>
          </m:r>
          <m:sSup>
            <m:sSupPr>
              <m:ctrlPr>
                <w:rPr>
                  <w:rFonts w:ascii="Cambria Math" w:hAnsi="Arial" w:cs="Arial"/>
                  <w:sz w:val="22"/>
                  <w:szCs w:val="18"/>
                  <w:lang w:val="en-US"/>
                </w:rPr>
              </m:ctrlPr>
            </m:sSupPr>
            <m:e>
              <m:r>
                <m:rPr>
                  <m:sty m:val="p"/>
                </m:rPr>
                <w:rPr>
                  <w:rFonts w:ascii="Cambria Math" w:hAnsi="Arial" w:cs="Arial"/>
                  <w:sz w:val="22"/>
                  <w:szCs w:val="18"/>
                  <w:lang w:val="en-US"/>
                </w:rPr>
                <m:t xml:space="preserve">10 </m:t>
              </m:r>
            </m:e>
            <m:sup>
              <m:r>
                <m:rPr>
                  <m:sty m:val="p"/>
                </m:rPr>
                <w:rPr>
                  <w:rFonts w:ascii="Cambria Math" w:hAnsi="Arial" w:cs="Arial"/>
                  <w:sz w:val="22"/>
                  <w:szCs w:val="18"/>
                  <w:vertAlign w:val="superscript"/>
                  <w:lang w:val="en-US"/>
                </w:rPr>
                <m:t>-</m:t>
              </m:r>
              <m:r>
                <m:rPr>
                  <m:sty m:val="p"/>
                </m:rPr>
                <w:rPr>
                  <w:rFonts w:ascii="Cambria Math" w:hAnsi="Arial" w:cs="Arial"/>
                  <w:sz w:val="22"/>
                  <w:szCs w:val="18"/>
                  <w:vertAlign w:val="superscript"/>
                  <w:lang w:val="en-US"/>
                </w:rPr>
                <m:t>27</m:t>
              </m:r>
            </m:sup>
          </m:sSup>
          <m:r>
            <m:rPr>
              <m:sty m:val="p"/>
            </m:rPr>
            <w:rPr>
              <w:rFonts w:ascii="Cambria Math" w:hAnsi="Arial" w:cs="Arial"/>
              <w:sz w:val="22"/>
              <w:szCs w:val="18"/>
              <w:lang w:val="en-US"/>
            </w:rPr>
            <m:t>kg   ;     1 eV=1,602</m:t>
          </m:r>
          <m:r>
            <m:rPr>
              <m:sty m:val="p"/>
            </m:rPr>
            <w:rPr>
              <w:rFonts w:ascii="Cambria Math" w:hAnsi="Arial" w:cs="Arial"/>
              <w:sz w:val="22"/>
              <w:szCs w:val="18"/>
              <w:lang w:val="en-US"/>
            </w:rPr>
            <m:t>×</m:t>
          </m:r>
          <m:sSup>
            <m:sSupPr>
              <m:ctrlPr>
                <w:rPr>
                  <w:rFonts w:ascii="Cambria Math" w:hAnsi="Arial" w:cs="Arial"/>
                  <w:sz w:val="22"/>
                  <w:szCs w:val="18"/>
                  <w:lang w:val="en-US"/>
                </w:rPr>
              </m:ctrlPr>
            </m:sSupPr>
            <m:e>
              <m:r>
                <m:rPr>
                  <m:sty m:val="p"/>
                </m:rPr>
                <w:rPr>
                  <w:rFonts w:ascii="Cambria Math" w:hAnsi="Arial" w:cs="Arial"/>
                  <w:sz w:val="22"/>
                  <w:szCs w:val="18"/>
                  <w:lang w:val="en-US"/>
                </w:rPr>
                <m:t>10</m:t>
              </m:r>
            </m:e>
            <m:sup>
              <m:r>
                <m:rPr>
                  <m:sty m:val="p"/>
                </m:rPr>
                <w:rPr>
                  <w:rFonts w:ascii="Cambria Math" w:hAnsi="Arial" w:cs="Arial"/>
                  <w:sz w:val="22"/>
                  <w:szCs w:val="18"/>
                  <w:vertAlign w:val="superscript"/>
                  <w:lang w:val="en-US"/>
                </w:rPr>
                <m:t>-</m:t>
              </m:r>
              <m:r>
                <m:rPr>
                  <m:sty m:val="p"/>
                </m:rPr>
                <w:rPr>
                  <w:rFonts w:ascii="Cambria Math" w:hAnsi="Arial" w:cs="Arial"/>
                  <w:sz w:val="22"/>
                  <w:szCs w:val="18"/>
                  <w:vertAlign w:val="superscript"/>
                  <w:lang w:val="en-US"/>
                </w:rPr>
                <m:t>19</m:t>
              </m:r>
            </m:sup>
          </m:sSup>
          <m:r>
            <m:rPr>
              <m:sty m:val="p"/>
            </m:rPr>
            <w:rPr>
              <w:rFonts w:ascii="Cambria Math" w:hAnsi="Arial" w:cs="Arial"/>
              <w:sz w:val="22"/>
              <w:szCs w:val="18"/>
              <w:lang w:val="en-US"/>
            </w:rPr>
            <m:t xml:space="preserve"> J</m:t>
          </m:r>
        </m:oMath>
      </m:oMathPara>
    </w:p>
    <w:p w:rsidR="009E7F54" w:rsidRPr="00DC4E28" w:rsidRDefault="008C7C95" w:rsidP="00F9733C">
      <w:pPr>
        <w:tabs>
          <w:tab w:val="left" w:pos="3828"/>
        </w:tabs>
        <w:ind w:right="-573"/>
        <w:rPr>
          <w:oMath/>
          <w:rFonts w:ascii="Cambria Math" w:hAnsi="Arial" w:cs="Arial"/>
          <w:sz w:val="22"/>
          <w:szCs w:val="18"/>
          <w:lang w:val="en-US"/>
        </w:rPr>
      </w:pPr>
      <m:oMathPara>
        <m:oMathParaPr>
          <m:jc m:val="left"/>
        </m:oMathParaPr>
        <m:oMath>
          <m:r>
            <m:rPr>
              <m:sty m:val="p"/>
            </m:rPr>
            <w:rPr>
              <w:rFonts w:ascii="Cambria Math" w:hAnsi="Arial" w:cs="Arial"/>
              <w:spacing w:val="2"/>
              <w:sz w:val="22"/>
              <w:szCs w:val="18"/>
              <w:lang w:val="en-US"/>
            </w:rPr>
            <m:t xml:space="preserve"> h = 6,626</m:t>
          </m:r>
          <m:r>
            <m:rPr>
              <m:sty m:val="p"/>
            </m:rPr>
            <w:rPr>
              <w:rFonts w:ascii="Cambria Math" w:hAnsi="Arial" w:cs="Arial"/>
              <w:spacing w:val="2"/>
              <w:sz w:val="22"/>
              <w:szCs w:val="18"/>
              <w:lang w:val="en-US"/>
            </w:rPr>
            <m:t>×</m:t>
          </m:r>
          <m:sSup>
            <m:sSupPr>
              <m:ctrlPr>
                <w:rPr>
                  <w:rFonts w:ascii="Cambria Math" w:hAnsi="Arial" w:cs="Arial"/>
                  <w:spacing w:val="2"/>
                  <w:sz w:val="22"/>
                  <w:szCs w:val="18"/>
                  <w:lang w:val="en-US"/>
                </w:rPr>
              </m:ctrlPr>
            </m:sSupPr>
            <m:e>
              <m:r>
                <m:rPr>
                  <m:sty m:val="p"/>
                </m:rPr>
                <w:rPr>
                  <w:rFonts w:ascii="Cambria Math" w:hAnsi="Arial" w:cs="Arial"/>
                  <w:spacing w:val="2"/>
                  <w:sz w:val="22"/>
                  <w:szCs w:val="18"/>
                  <w:lang w:val="en-US"/>
                </w:rPr>
                <m:t>10</m:t>
              </m:r>
            </m:e>
            <m:sup>
              <m:r>
                <m:rPr>
                  <m:sty m:val="p"/>
                </m:rPr>
                <w:rPr>
                  <w:rFonts w:ascii="Cambria Math" w:hAnsi="Arial" w:cs="Arial"/>
                  <w:spacing w:val="2"/>
                  <w:sz w:val="22"/>
                  <w:szCs w:val="18"/>
                  <w:vertAlign w:val="superscript"/>
                  <w:lang w:val="en-US"/>
                </w:rPr>
                <m:t>-</m:t>
              </m:r>
              <m:r>
                <m:rPr>
                  <m:sty m:val="p"/>
                </m:rPr>
                <w:rPr>
                  <w:rFonts w:ascii="Cambria Math" w:hAnsi="Arial" w:cs="Arial"/>
                  <w:spacing w:val="2"/>
                  <w:sz w:val="22"/>
                  <w:szCs w:val="18"/>
                  <w:vertAlign w:val="superscript"/>
                  <w:lang w:val="en-US"/>
                </w:rPr>
                <m:t>34</m:t>
              </m:r>
            </m:sup>
          </m:sSup>
          <m:r>
            <m:rPr>
              <m:sty m:val="p"/>
            </m:rPr>
            <w:rPr>
              <w:rFonts w:ascii="Cambria Math" w:hAnsi="Arial" w:cs="Arial"/>
              <w:spacing w:val="2"/>
              <w:sz w:val="22"/>
              <w:szCs w:val="18"/>
              <w:lang w:val="en-US"/>
            </w:rPr>
            <m:t xml:space="preserve"> J.s      ;      c=299792458 m.</m:t>
          </m:r>
          <m:sSup>
            <m:sSupPr>
              <m:ctrlPr>
                <w:rPr>
                  <w:rFonts w:ascii="Cambria Math" w:hAnsi="Arial" w:cs="Arial"/>
                  <w:spacing w:val="2"/>
                  <w:sz w:val="22"/>
                  <w:szCs w:val="18"/>
                  <w:lang w:val="en-US"/>
                </w:rPr>
              </m:ctrlPr>
            </m:sSupPr>
            <m:e>
              <m:r>
                <m:rPr>
                  <m:sty m:val="p"/>
                </m:rPr>
                <w:rPr>
                  <w:rFonts w:ascii="Cambria Math" w:hAnsi="Arial" w:cs="Arial"/>
                  <w:spacing w:val="2"/>
                  <w:sz w:val="22"/>
                  <w:szCs w:val="18"/>
                  <w:lang w:val="en-US"/>
                </w:rPr>
                <m:t>s</m:t>
              </m:r>
            </m:e>
            <m:sup>
              <m:r>
                <m:rPr>
                  <m:sty m:val="p"/>
                </m:rPr>
                <w:rPr>
                  <w:rFonts w:ascii="Cambria Math" w:hAnsi="Arial" w:cs="Arial"/>
                  <w:spacing w:val="2"/>
                  <w:sz w:val="22"/>
                  <w:szCs w:val="18"/>
                  <w:vertAlign w:val="superscript"/>
                  <w:lang w:val="en-US"/>
                </w:rPr>
                <m:t>-</m:t>
              </m:r>
              <m:r>
                <m:rPr>
                  <m:sty m:val="p"/>
                </m:rPr>
                <w:rPr>
                  <w:rFonts w:ascii="Cambria Math" w:hAnsi="Arial" w:cs="Arial"/>
                  <w:spacing w:val="2"/>
                  <w:sz w:val="22"/>
                  <w:szCs w:val="18"/>
                  <w:vertAlign w:val="superscript"/>
                  <w:lang w:val="en-US"/>
                </w:rPr>
                <m:t>1</m:t>
              </m:r>
            </m:sup>
          </m:sSup>
          <m:r>
            <m:rPr>
              <m:sty m:val="p"/>
            </m:rPr>
            <w:rPr>
              <w:rFonts w:ascii="Cambria Math" w:hAnsi="Arial" w:cs="Arial"/>
              <w:sz w:val="22"/>
              <w:szCs w:val="18"/>
              <w:lang w:val="en-US"/>
            </w:rPr>
            <m:t xml:space="preserve"> .  </m:t>
          </m:r>
        </m:oMath>
      </m:oMathPara>
    </w:p>
    <w:p w:rsidR="00132E54" w:rsidRPr="00C916CF" w:rsidRDefault="00132E54" w:rsidP="00F9733C">
      <w:pPr>
        <w:tabs>
          <w:tab w:val="left" w:pos="3828"/>
        </w:tabs>
        <w:ind w:right="-573"/>
        <w:rPr>
          <w:rFonts w:ascii="Arial" w:hAnsi="Arial" w:cs="Arial"/>
          <w:sz w:val="18"/>
          <w:szCs w:val="18"/>
          <w:lang w:val="en-US"/>
        </w:rPr>
      </w:pPr>
    </w:p>
    <w:p w:rsidR="00343419" w:rsidRPr="00C916CF" w:rsidRDefault="00343419" w:rsidP="00F9733C">
      <w:pPr>
        <w:tabs>
          <w:tab w:val="left" w:pos="3828"/>
        </w:tabs>
        <w:ind w:right="-573"/>
        <w:rPr>
          <w:rFonts w:ascii="Arial" w:hAnsi="Arial" w:cs="Arial"/>
          <w:sz w:val="18"/>
          <w:szCs w:val="18"/>
          <w:lang w:val="en-US"/>
        </w:rPr>
      </w:pPr>
    </w:p>
    <w:p w:rsidR="00343419" w:rsidRPr="00C916CF" w:rsidRDefault="00343419" w:rsidP="00F9733C">
      <w:pPr>
        <w:tabs>
          <w:tab w:val="left" w:pos="3828"/>
        </w:tabs>
        <w:ind w:right="-573"/>
        <w:rPr>
          <w:rFonts w:ascii="Arial" w:hAnsi="Arial" w:cs="Arial"/>
          <w:sz w:val="18"/>
          <w:szCs w:val="18"/>
          <w:lang w:val="en-US"/>
        </w:rPr>
      </w:pPr>
    </w:p>
    <w:p w:rsidR="00DC4E28" w:rsidRPr="001F21E1" w:rsidRDefault="00DC4E28" w:rsidP="001F21E1">
      <w:pPr>
        <w:pBdr>
          <w:bottom w:val="single" w:sz="4" w:space="0" w:color="auto"/>
        </w:pBdr>
        <w:spacing w:after="120"/>
        <w:rPr>
          <w:rFonts w:ascii="Arial" w:hAnsi="Arial" w:cs="Arial"/>
          <w:b/>
          <w:sz w:val="28"/>
          <w:szCs w:val="28"/>
        </w:rPr>
      </w:pPr>
      <w:r w:rsidRPr="001F21E1">
        <w:rPr>
          <w:rFonts w:ascii="Arial" w:hAnsi="Arial" w:cs="Arial"/>
          <w:b/>
          <w:sz w:val="28"/>
          <w:szCs w:val="28"/>
        </w:rPr>
        <w:lastRenderedPageBreak/>
        <w:t xml:space="preserve">FICHE 3            </w:t>
      </w:r>
      <w:r w:rsidRPr="001F21E1">
        <w:rPr>
          <w:b/>
          <w:sz w:val="28"/>
          <w:szCs w:val="28"/>
        </w:rPr>
        <w:t xml:space="preserve">Eléments de correction : « Thyroïde et </w:t>
      </w:r>
      <w:proofErr w:type="spellStart"/>
      <w:r w:rsidRPr="001F21E1">
        <w:rPr>
          <w:b/>
          <w:sz w:val="28"/>
          <w:szCs w:val="28"/>
        </w:rPr>
        <w:t>iodothérapie</w:t>
      </w:r>
      <w:proofErr w:type="spellEnd"/>
      <w:r w:rsidRPr="001F21E1">
        <w:rPr>
          <w:b/>
          <w:sz w:val="28"/>
          <w:szCs w:val="28"/>
        </w:rPr>
        <w:t> » </w:t>
      </w:r>
    </w:p>
    <w:p w:rsidR="00E04663" w:rsidRDefault="00E04663" w:rsidP="00E30FD0">
      <w:pPr>
        <w:autoSpaceDE w:val="0"/>
        <w:autoSpaceDN w:val="0"/>
        <w:adjustRightInd w:val="0"/>
        <w:spacing w:after="120"/>
        <w:jc w:val="both"/>
        <w:rPr>
          <w:rFonts w:ascii="Cambria Math" w:hAnsi="Cambria Math"/>
          <w:b/>
          <w:u w:val="single"/>
          <w:lang w:eastAsia="en-US"/>
        </w:rPr>
      </w:pPr>
    </w:p>
    <w:p w:rsidR="00E30FD0" w:rsidRPr="00383A9F" w:rsidRDefault="00E30FD0" w:rsidP="00E30FD0">
      <w:pPr>
        <w:autoSpaceDE w:val="0"/>
        <w:autoSpaceDN w:val="0"/>
        <w:adjustRightInd w:val="0"/>
        <w:spacing w:after="120"/>
        <w:jc w:val="both"/>
        <w:rPr>
          <w:rFonts w:ascii="Cambria Math" w:hAnsi="Cambria Math"/>
          <w:b/>
          <w:u w:val="single"/>
          <w:lang w:eastAsia="en-US"/>
        </w:rPr>
      </w:pPr>
      <w:r w:rsidRPr="00383A9F">
        <w:rPr>
          <w:rFonts w:ascii="Cambria Math" w:hAnsi="Cambria Math"/>
          <w:b/>
          <w:u w:val="single"/>
          <w:lang w:eastAsia="en-US"/>
        </w:rPr>
        <w:t>Questions préliminaires</w:t>
      </w:r>
      <w:r w:rsidRPr="00383A9F">
        <w:rPr>
          <w:rFonts w:ascii="Cambria Math" w:hAnsi="Cambria Math"/>
          <w:b/>
          <w:lang w:eastAsia="en-US"/>
        </w:rPr>
        <w:t> :</w:t>
      </w:r>
    </w:p>
    <w:p w:rsidR="00E30FD0" w:rsidRPr="00082CE6" w:rsidRDefault="00E30FD0" w:rsidP="00E30FD0">
      <w:pPr>
        <w:pStyle w:val="Paragraphedeliste"/>
        <w:numPr>
          <w:ilvl w:val="0"/>
          <w:numId w:val="5"/>
        </w:numPr>
        <w:autoSpaceDE w:val="0"/>
        <w:autoSpaceDN w:val="0"/>
        <w:adjustRightInd w:val="0"/>
        <w:ind w:left="284" w:hanging="284"/>
        <w:jc w:val="both"/>
        <w:rPr>
          <w:rFonts w:ascii="Cambria Math" w:hAnsi="Cambria Math"/>
        </w:rPr>
      </w:pPr>
      <w:r w:rsidRPr="00082CE6">
        <w:rPr>
          <w:rFonts w:ascii="Cambria Math" w:hAnsi="Cambria Math"/>
        </w:rPr>
        <w:t xml:space="preserve">D’après le document, </w:t>
      </w:r>
      <w:r>
        <w:rPr>
          <w:rFonts w:ascii="Cambria Math" w:hAnsi="Cambria Math"/>
        </w:rPr>
        <w:t>l</w:t>
      </w:r>
      <w:r w:rsidRPr="00082CE6">
        <w:rPr>
          <w:rFonts w:ascii="Cambria Math" w:hAnsi="Cambria Math"/>
        </w:rPr>
        <w:t xml:space="preserve">es isotopes utilisés </w:t>
      </w:r>
      <w:r w:rsidRPr="00082CE6">
        <w:rPr>
          <w:rFonts w:ascii="Cambria Math" w:hAnsi="Cambria Math"/>
          <w:color w:val="000000"/>
        </w:rPr>
        <w:t xml:space="preserve">dans le domaine médical sont </w:t>
      </w:r>
      <w:r w:rsidRPr="00082CE6">
        <w:rPr>
          <w:rFonts w:ascii="Cambria Math" w:hAnsi="Cambria Math"/>
        </w:rPr>
        <w:t xml:space="preserve">l'iode 131, l'iode 123 et l'iode 125 et l’isotope utilisé pour le traitement de la thyroïde est </w:t>
      </w:r>
      <w:proofErr w:type="gramStart"/>
      <w:r w:rsidRPr="00082CE6">
        <w:rPr>
          <w:rFonts w:ascii="Cambria Math" w:hAnsi="Cambria Math"/>
        </w:rPr>
        <w:t xml:space="preserve">émetteur </w:t>
      </w:r>
      <w:proofErr w:type="gramEnd"/>
      <w:r w:rsidRPr="00AD466D">
        <w:sym w:font="Symbol" w:char="F062"/>
      </w:r>
      <w:r>
        <w:rPr>
          <w:vertAlign w:val="superscript"/>
        </w:rPr>
        <w:sym w:font="Symbol" w:char="F02D"/>
      </w:r>
      <w:r w:rsidRPr="00082CE6">
        <w:rPr>
          <w:rFonts w:ascii="Cambria Math" w:hAnsi="Cambria Math"/>
        </w:rPr>
        <w:t xml:space="preserve">. </w:t>
      </w:r>
      <w:r w:rsidRPr="00082CE6">
        <w:rPr>
          <w:rFonts w:ascii="Cambria Math" w:hAnsi="Cambria Math"/>
          <w:lang w:eastAsia="en-US"/>
        </w:rPr>
        <w:t>L</w:t>
      </w:r>
      <w:r w:rsidRPr="00082CE6">
        <w:rPr>
          <w:rFonts w:ascii="Cambria Math" w:hAnsi="Cambria Math"/>
        </w:rPr>
        <w:t xml:space="preserve">'iode 131 est émetteur </w:t>
      </w:r>
      <w:r w:rsidRPr="00AD466D">
        <w:sym w:font="Symbol" w:char="F062"/>
      </w:r>
      <w:r>
        <w:rPr>
          <w:vertAlign w:val="superscript"/>
        </w:rPr>
        <w:sym w:font="Symbol" w:char="F02D"/>
      </w:r>
      <w:r w:rsidRPr="00082CE6">
        <w:rPr>
          <w:rFonts w:ascii="Cambria Math" w:hAnsi="Cambria Math"/>
          <w:vertAlign w:val="superscript"/>
        </w:rPr>
        <w:t xml:space="preserve"> </w:t>
      </w:r>
      <w:r w:rsidRPr="00082CE6">
        <w:rPr>
          <w:rFonts w:ascii="Cambria Math" w:hAnsi="Cambria Math"/>
        </w:rPr>
        <w:t xml:space="preserve">tandis que l'iode 123 est émetteur </w:t>
      </w:r>
      <w:r w:rsidRPr="00AD466D">
        <w:sym w:font="Symbol" w:char="F062"/>
      </w:r>
      <w:r w:rsidRPr="00082CE6">
        <w:rPr>
          <w:rFonts w:ascii="Cambria Math" w:hAnsi="Cambria Math"/>
          <w:vertAlign w:val="superscript"/>
        </w:rPr>
        <w:t>+</w:t>
      </w:r>
      <w:r w:rsidRPr="00082CE6">
        <w:rPr>
          <w:rFonts w:ascii="Cambria Math" w:hAnsi="Cambria Math"/>
        </w:rPr>
        <w:t xml:space="preserve"> et l'iode 125 se désintègre par capture électronique. </w:t>
      </w:r>
    </w:p>
    <w:p w:rsidR="00E30FD0" w:rsidRPr="0034674F" w:rsidRDefault="00E30FD0" w:rsidP="00E30FD0">
      <w:pPr>
        <w:autoSpaceDE w:val="0"/>
        <w:autoSpaceDN w:val="0"/>
        <w:adjustRightInd w:val="0"/>
        <w:spacing w:after="120"/>
        <w:ind w:left="284"/>
        <w:jc w:val="both"/>
        <w:rPr>
          <w:rFonts w:ascii="Cambria Math" w:hAnsi="Cambria Math"/>
          <w:lang w:eastAsia="en-US"/>
        </w:rPr>
      </w:pPr>
      <w:r w:rsidRPr="0034674F">
        <w:rPr>
          <w:rFonts w:ascii="Cambria Math" w:hAnsi="Cambria Math"/>
        </w:rPr>
        <w:t>On en déduit que l’isotope utilisé pour le traitement de la thyroïde est l’iode 131.</w:t>
      </w:r>
    </w:p>
    <w:p w:rsidR="00E30FD0" w:rsidRPr="00AD466D" w:rsidRDefault="00E30FD0" w:rsidP="00E30FD0">
      <w:pPr>
        <w:autoSpaceDE w:val="0"/>
        <w:autoSpaceDN w:val="0"/>
        <w:adjustRightInd w:val="0"/>
        <w:ind w:left="284"/>
        <w:jc w:val="both"/>
        <w:rPr>
          <w:rFonts w:ascii="Cambria Math" w:hAnsi="Cambria Math"/>
          <w:lang w:eastAsia="en-US"/>
        </w:rPr>
      </w:pPr>
      <w:r w:rsidRPr="00AD466D">
        <w:rPr>
          <w:rFonts w:ascii="Cambria Math" w:hAnsi="Cambria Math"/>
          <w:lang w:eastAsia="en-US"/>
        </w:rPr>
        <w:t xml:space="preserve">La radioactivité </w:t>
      </w:r>
      <w:r w:rsidRPr="00AD466D">
        <w:sym w:font="Symbol" w:char="F062"/>
      </w:r>
      <w:r>
        <w:rPr>
          <w:rFonts w:ascii="Cambria Math" w:hAnsi="Cambria Math"/>
          <w:vertAlign w:val="superscript"/>
        </w:rPr>
        <w:sym w:font="Symbol" w:char="F02D"/>
      </w:r>
      <w:r>
        <w:rPr>
          <w:rFonts w:ascii="Cambria Math" w:hAnsi="Cambria Math"/>
          <w:vertAlign w:val="superscript"/>
        </w:rPr>
        <w:t xml:space="preserve"> </w:t>
      </w:r>
      <w:r>
        <w:rPr>
          <w:rFonts w:ascii="Cambria Math" w:hAnsi="Cambria Math"/>
          <w:lang w:eastAsia="en-US"/>
        </w:rPr>
        <w:t>correspond à</w:t>
      </w:r>
      <w:r w:rsidRPr="00AD466D">
        <w:rPr>
          <w:rFonts w:ascii="Cambria Math" w:hAnsi="Cambria Math"/>
          <w:lang w:eastAsia="en-US"/>
        </w:rPr>
        <w:t xml:space="preserve"> l’émission d’un électron</w:t>
      </w:r>
      <w:r>
        <w:rPr>
          <w:rFonts w:ascii="Cambria Math" w:hAnsi="Cambria Math"/>
          <w:lang w:eastAsia="en-US"/>
        </w:rPr>
        <w:t xml:space="preserve">  </w:t>
      </w:r>
      <m:oMath>
        <m:sPre>
          <m:sPrePr>
            <m:ctrlPr>
              <w:rPr>
                <w:rFonts w:ascii="Cambria Math" w:hAnsi="Cambria Math"/>
                <w:lang w:eastAsia="en-US"/>
              </w:rPr>
            </m:ctrlPr>
          </m:sPrePr>
          <m:sub>
            <m:r>
              <m:rPr>
                <m:sty m:val="p"/>
              </m:rPr>
              <w:rPr>
                <w:rFonts w:ascii="Cambria Math" w:hAnsi="Cambria Math"/>
                <w:lang w:eastAsia="en-US"/>
              </w:rPr>
              <m:t>-1</m:t>
            </m:r>
          </m:sub>
          <m:sup>
            <m:r>
              <m:rPr>
                <m:sty m:val="p"/>
              </m:rPr>
              <w:rPr>
                <w:rFonts w:ascii="Cambria Math" w:hAnsi="Cambria Math"/>
                <w:lang w:eastAsia="en-US"/>
              </w:rPr>
              <m:t>0</m:t>
            </m:r>
          </m:sup>
          <m:e>
            <m:r>
              <m:rPr>
                <m:sty m:val="p"/>
              </m:rPr>
              <w:rPr>
                <w:rFonts w:ascii="Cambria Math" w:hAnsi="Cambria Math"/>
                <w:lang w:eastAsia="en-US"/>
              </w:rPr>
              <m:t>e</m:t>
            </m:r>
          </m:e>
        </m:sPre>
      </m:oMath>
      <w:r w:rsidRPr="00AD466D">
        <w:rPr>
          <w:rFonts w:ascii="Cambria Math" w:hAnsi="Cambria Math"/>
          <w:lang w:eastAsia="en-US"/>
        </w:rPr>
        <w:t xml:space="preserve"> </w:t>
      </w:r>
      <w:r>
        <w:rPr>
          <w:rFonts w:ascii="Cambria Math" w:hAnsi="Cambria Math"/>
          <w:lang w:eastAsia="en-US"/>
        </w:rPr>
        <w:t xml:space="preserve">  </w:t>
      </w:r>
      <w:r w:rsidRPr="00AD466D">
        <w:rPr>
          <w:rFonts w:ascii="Cambria Math" w:hAnsi="Cambria Math"/>
        </w:rPr>
        <w:t>.</w:t>
      </w:r>
    </w:p>
    <w:p w:rsidR="00E30FD0" w:rsidRDefault="00E30FD0" w:rsidP="00E30FD0">
      <w:pPr>
        <w:autoSpaceDE w:val="0"/>
        <w:autoSpaceDN w:val="0"/>
        <w:adjustRightInd w:val="0"/>
        <w:ind w:left="284"/>
        <w:jc w:val="both"/>
        <w:rPr>
          <w:rFonts w:ascii="Cambria Math" w:hAnsi="Cambria Math"/>
          <w:lang w:eastAsia="en-US"/>
        </w:rPr>
      </w:pPr>
      <w:r>
        <w:rPr>
          <w:rFonts w:ascii="Cambria Math" w:hAnsi="Cambria Math"/>
          <w:lang w:eastAsia="en-US"/>
        </w:rPr>
        <w:t xml:space="preserve">Lors d’une transformation nucléaire, il y a </w:t>
      </w:r>
      <w:r w:rsidRPr="00AD466D">
        <w:rPr>
          <w:rFonts w:ascii="Cambria Math" w:hAnsi="Cambria Math"/>
          <w:lang w:eastAsia="en-US"/>
        </w:rPr>
        <w:t>conservation de</w:t>
      </w:r>
      <w:r>
        <w:rPr>
          <w:rFonts w:ascii="Cambria Math" w:hAnsi="Cambria Math"/>
          <w:lang w:eastAsia="en-US"/>
        </w:rPr>
        <w:t>s</w:t>
      </w:r>
      <w:r w:rsidRPr="00AD466D">
        <w:rPr>
          <w:rFonts w:ascii="Cambria Math" w:hAnsi="Cambria Math"/>
          <w:lang w:eastAsia="en-US"/>
        </w:rPr>
        <w:t xml:space="preserve"> </w:t>
      </w:r>
      <w:r>
        <w:rPr>
          <w:rFonts w:ascii="Cambria Math" w:hAnsi="Cambria Math"/>
          <w:lang w:eastAsia="en-US"/>
        </w:rPr>
        <w:t>nombres de</w:t>
      </w:r>
      <w:r w:rsidRPr="00AD466D">
        <w:rPr>
          <w:rFonts w:ascii="Cambria Math" w:hAnsi="Cambria Math"/>
          <w:lang w:eastAsia="en-US"/>
        </w:rPr>
        <w:t xml:space="preserve"> charge et de nucléons</w:t>
      </w:r>
      <w:r w:rsidRPr="00D015BA">
        <w:rPr>
          <w:rFonts w:ascii="Cambria Math" w:hAnsi="Cambria Math"/>
          <w:lang w:eastAsia="en-US"/>
        </w:rPr>
        <w:t xml:space="preserve"> </w:t>
      </w:r>
      <w:r>
        <w:rPr>
          <w:rFonts w:ascii="Cambria Math" w:hAnsi="Cambria Math"/>
          <w:lang w:eastAsia="en-US"/>
        </w:rPr>
        <w:t>(</w:t>
      </w:r>
      <w:r w:rsidRPr="00AD466D">
        <w:rPr>
          <w:rFonts w:ascii="Cambria Math" w:hAnsi="Cambria Math"/>
          <w:lang w:eastAsia="en-US"/>
        </w:rPr>
        <w:t xml:space="preserve">lois </w:t>
      </w:r>
      <w:r>
        <w:rPr>
          <w:rFonts w:ascii="Cambria Math" w:hAnsi="Cambria Math"/>
          <w:lang w:eastAsia="en-US"/>
        </w:rPr>
        <w:t xml:space="preserve">de Soddy). </w:t>
      </w:r>
    </w:p>
    <w:p w:rsidR="00E30FD0" w:rsidRDefault="00E30FD0" w:rsidP="00E30FD0">
      <w:pPr>
        <w:autoSpaceDE w:val="0"/>
        <w:autoSpaceDN w:val="0"/>
        <w:adjustRightInd w:val="0"/>
        <w:ind w:left="284"/>
        <w:jc w:val="both"/>
        <w:rPr>
          <w:rFonts w:ascii="Cambria Math" w:hAnsi="Cambria Math"/>
          <w:lang w:eastAsia="en-US"/>
        </w:rPr>
      </w:pPr>
      <w:r>
        <w:rPr>
          <w:rFonts w:ascii="Cambria Math" w:hAnsi="Cambria Math"/>
          <w:lang w:eastAsia="en-US"/>
        </w:rPr>
        <w:t>L</w:t>
      </w:r>
      <w:r w:rsidRPr="00AD466D">
        <w:rPr>
          <w:rFonts w:ascii="Cambria Math" w:hAnsi="Cambria Math"/>
          <w:lang w:eastAsia="en-US"/>
        </w:rPr>
        <w:t xml:space="preserve">’équation de désintégration de l’iode 131 </w:t>
      </w:r>
      <w:r>
        <w:rPr>
          <w:rFonts w:ascii="Cambria Math" w:hAnsi="Cambria Math"/>
          <w:lang w:eastAsia="en-US"/>
        </w:rPr>
        <w:t>est</w:t>
      </w:r>
      <w:r w:rsidRPr="00AD466D">
        <w:rPr>
          <w:rFonts w:ascii="Cambria Math" w:hAnsi="Cambria Math"/>
          <w:lang w:eastAsia="en-US"/>
        </w:rPr>
        <w:t> </w:t>
      </w:r>
      <w:r>
        <w:rPr>
          <w:rFonts w:ascii="Cambria Math" w:hAnsi="Cambria Math"/>
          <w:lang w:eastAsia="en-US"/>
        </w:rPr>
        <w:t xml:space="preserve">donc </w:t>
      </w:r>
      <w:r w:rsidRPr="00AD466D">
        <w:rPr>
          <w:rFonts w:ascii="Cambria Math" w:hAnsi="Cambria Math"/>
          <w:lang w:eastAsia="en-US"/>
        </w:rPr>
        <w:t>:</w:t>
      </w:r>
      <w:r>
        <w:rPr>
          <w:rFonts w:ascii="Cambria Math" w:hAnsi="Cambria Math"/>
          <w:lang w:eastAsia="en-US"/>
        </w:rPr>
        <w:t xml:space="preserve"> </w:t>
      </w:r>
      <w:r>
        <w:rPr>
          <w:rFonts w:ascii="Cambria Math" w:hAnsi="Cambria Math"/>
          <w:lang w:eastAsia="en-US"/>
        </w:rPr>
        <w:tab/>
      </w:r>
      <m:oMath>
        <m:r>
          <m:rPr>
            <m:sty m:val="p"/>
          </m:rPr>
          <w:rPr>
            <w:rFonts w:ascii="Cambria Math" w:hAnsi="Cambria Math"/>
            <w:lang w:eastAsia="en-US"/>
          </w:rPr>
          <m:t xml:space="preserve"> </m:t>
        </m:r>
        <m:sPre>
          <m:sPrePr>
            <m:ctrlPr>
              <w:rPr>
                <w:rFonts w:ascii="Cambria Math" w:hAnsi="Cambria Math"/>
                <w:lang w:eastAsia="en-US"/>
              </w:rPr>
            </m:ctrlPr>
          </m:sPrePr>
          <m:sub>
            <m:r>
              <m:rPr>
                <m:sty m:val="p"/>
              </m:rPr>
              <w:rPr>
                <w:rFonts w:ascii="Cambria Math" w:hAnsi="Cambria Math"/>
                <w:lang w:eastAsia="en-US"/>
              </w:rPr>
              <m:t xml:space="preserve">53 </m:t>
            </m:r>
          </m:sub>
          <m:sup>
            <m:r>
              <m:rPr>
                <m:sty m:val="p"/>
              </m:rPr>
              <w:rPr>
                <w:rFonts w:ascii="Cambria Math" w:hAnsi="Cambria Math"/>
                <w:lang w:eastAsia="en-US"/>
              </w:rPr>
              <m:t xml:space="preserve">131 </m:t>
            </m:r>
          </m:sup>
          <m:e>
            <m:r>
              <m:rPr>
                <m:sty m:val="p"/>
              </m:rPr>
              <w:rPr>
                <w:rFonts w:ascii="Cambria Math" w:hAnsi="Cambria Math"/>
                <w:lang w:eastAsia="en-US"/>
              </w:rPr>
              <m:t>I</m:t>
            </m:r>
          </m:e>
        </m:sPre>
        <m:r>
          <m:rPr>
            <m:sty m:val="p"/>
          </m:rPr>
          <w:rPr>
            <w:rFonts w:ascii="Cambria Math" w:hAnsi="Cambria Math"/>
            <w:lang w:eastAsia="en-US"/>
          </w:rPr>
          <m:t xml:space="preserve">   →  </m:t>
        </m:r>
        <m:sSup>
          <m:sSupPr>
            <m:ctrlPr>
              <w:rPr>
                <w:rFonts w:ascii="Cambria Math" w:hAnsi="Cambria Math"/>
                <w:lang w:eastAsia="en-US"/>
              </w:rPr>
            </m:ctrlPr>
          </m:sSupPr>
          <m:e>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e>
          <m:sup>
            <m:r>
              <m:rPr>
                <m:sty m:val="p"/>
              </m:rPr>
              <w:rPr>
                <w:rFonts w:ascii="Cambria Math" w:hAnsi="Cambria Math"/>
                <w:lang w:eastAsia="en-US"/>
              </w:rPr>
              <m:t>*</m:t>
            </m:r>
          </m:sup>
        </m:sSup>
        <m:r>
          <m:rPr>
            <m:sty m:val="p"/>
          </m:rPr>
          <w:rPr>
            <w:rFonts w:ascii="Cambria Math" w:hAnsi="Cambria Math"/>
            <w:lang w:eastAsia="en-US"/>
          </w:rPr>
          <m:t xml:space="preserve">+ </m:t>
        </m:r>
        <m:sPre>
          <m:sPrePr>
            <m:ctrlPr>
              <w:rPr>
                <w:rFonts w:ascii="Cambria Math" w:hAnsi="Cambria Math"/>
                <w:lang w:eastAsia="en-US"/>
              </w:rPr>
            </m:ctrlPr>
          </m:sPrePr>
          <m:sub>
            <m:r>
              <m:rPr>
                <m:sty m:val="p"/>
              </m:rPr>
              <w:rPr>
                <w:rFonts w:ascii="Cambria Math" w:hAnsi="Cambria Math"/>
                <w:lang w:eastAsia="en-US"/>
              </w:rPr>
              <m:t>-1</m:t>
            </m:r>
          </m:sub>
          <m:sup>
            <m:r>
              <m:rPr>
                <m:sty m:val="p"/>
              </m:rPr>
              <w:rPr>
                <w:rFonts w:ascii="Cambria Math" w:hAnsi="Cambria Math"/>
                <w:lang w:eastAsia="en-US"/>
              </w:rPr>
              <m:t>0</m:t>
            </m:r>
          </m:sup>
          <m:e>
            <m:r>
              <m:rPr>
                <m:sty m:val="p"/>
              </m:rPr>
              <w:rPr>
                <w:rFonts w:ascii="Cambria Math" w:hAnsi="Cambria Math"/>
                <w:lang w:eastAsia="en-US"/>
              </w:rPr>
              <m:t>e</m:t>
            </m:r>
          </m:e>
        </m:sPre>
      </m:oMath>
    </w:p>
    <w:p w:rsidR="00E30FD0" w:rsidRPr="0034674F" w:rsidRDefault="00E30FD0" w:rsidP="00E30FD0">
      <w:pPr>
        <w:autoSpaceDE w:val="0"/>
        <w:autoSpaceDN w:val="0"/>
        <w:adjustRightInd w:val="0"/>
        <w:jc w:val="both"/>
        <w:rPr>
          <w:rFonts w:ascii="Cambria Math" w:hAnsi="Cambria Math"/>
          <w:lang w:eastAsia="en-US"/>
        </w:rPr>
      </w:pPr>
    </w:p>
    <w:p w:rsidR="00E30FD0" w:rsidRPr="0034674F" w:rsidRDefault="00E30FD0" w:rsidP="00E30FD0">
      <w:pPr>
        <w:pStyle w:val="Paragraphedeliste"/>
        <w:numPr>
          <w:ilvl w:val="0"/>
          <w:numId w:val="5"/>
        </w:numPr>
        <w:autoSpaceDE w:val="0"/>
        <w:autoSpaceDN w:val="0"/>
        <w:adjustRightInd w:val="0"/>
        <w:spacing w:after="120"/>
        <w:ind w:left="284" w:hanging="284"/>
        <w:rPr>
          <w:rFonts w:ascii="Cambria Math" w:hAnsi="Cambria Math"/>
          <w:lang w:eastAsia="en-US"/>
        </w:rPr>
      </w:pPr>
      <w:r w:rsidRPr="00AD466D">
        <w:rPr>
          <w:rFonts w:ascii="Cambria Math" w:hAnsi="Cambria Math"/>
          <w:lang w:eastAsia="en-US"/>
        </w:rPr>
        <w:t xml:space="preserve">D’après le document, les rayonnements </w:t>
      </w:r>
      <w:r w:rsidRPr="00AD466D">
        <w:rPr>
          <w:rFonts w:ascii="Cambria Math" w:hAnsi="Cambria Math"/>
          <w:lang w:eastAsia="en-US"/>
        </w:rPr>
        <w:sym w:font="Symbol" w:char="F062"/>
      </w:r>
      <w:r w:rsidRPr="00AD466D">
        <w:rPr>
          <w:rFonts w:ascii="Cambria Math" w:hAnsi="Cambria Math"/>
          <w:lang w:eastAsia="en-US"/>
        </w:rPr>
        <w:t xml:space="preserve"> </w:t>
      </w:r>
      <w:r>
        <w:rPr>
          <w:rFonts w:ascii="Cambria Math" w:hAnsi="Cambria Math"/>
          <w:lang w:eastAsia="en-US"/>
        </w:rPr>
        <w:t>étant</w:t>
      </w:r>
      <w:r w:rsidRPr="00AD466D">
        <w:rPr>
          <w:rFonts w:ascii="Cambria Math" w:hAnsi="Cambria Math"/>
          <w:lang w:eastAsia="en-US"/>
        </w:rPr>
        <w:t xml:space="preserve"> arrêtés par une feuille d’aluminium</w:t>
      </w:r>
      <w:r>
        <w:rPr>
          <w:rFonts w:ascii="Cambria Math" w:hAnsi="Cambria Math"/>
          <w:lang w:eastAsia="en-US"/>
        </w:rPr>
        <w:t>, c</w:t>
      </w:r>
      <w:r w:rsidRPr="00AD466D">
        <w:rPr>
          <w:rFonts w:ascii="Cambria Math" w:hAnsi="Cambria Math"/>
          <w:lang w:eastAsia="en-US"/>
        </w:rPr>
        <w:t xml:space="preserve">e ne sont </w:t>
      </w:r>
      <w:r>
        <w:rPr>
          <w:rFonts w:ascii="Cambria Math" w:hAnsi="Cambria Math"/>
          <w:lang w:eastAsia="en-US"/>
        </w:rPr>
        <w:t xml:space="preserve">donc </w:t>
      </w:r>
      <w:r w:rsidRPr="00AD466D">
        <w:rPr>
          <w:rFonts w:ascii="Cambria Math" w:hAnsi="Cambria Math"/>
          <w:lang w:eastAsia="en-US"/>
        </w:rPr>
        <w:t>pas les électrons produits qui justifient les précautions prises</w:t>
      </w:r>
      <w:r>
        <w:rPr>
          <w:rFonts w:ascii="Cambria Math" w:hAnsi="Cambria Math"/>
          <w:lang w:eastAsia="en-US"/>
        </w:rPr>
        <w:t>.</w:t>
      </w:r>
    </w:p>
    <w:p w:rsidR="00E30FD0" w:rsidRDefault="00E30FD0" w:rsidP="00E30FD0">
      <w:pPr>
        <w:autoSpaceDE w:val="0"/>
        <w:autoSpaceDN w:val="0"/>
        <w:adjustRightInd w:val="0"/>
        <w:spacing w:after="120"/>
        <w:ind w:left="284"/>
        <w:jc w:val="both"/>
        <w:rPr>
          <w:rFonts w:ascii="Cambria Math" w:hAnsi="Cambria Math"/>
        </w:rPr>
      </w:pPr>
      <w:r w:rsidRPr="00AD466D">
        <w:rPr>
          <w:rFonts w:ascii="Cambria Math" w:hAnsi="Cambria Math"/>
          <w:lang w:eastAsia="en-US"/>
        </w:rPr>
        <w:t>D’après le document, lors de sa désexcitation, le noyau excité</w:t>
      </w:r>
      <m:oMath>
        <m:r>
          <w:rPr>
            <w:rFonts w:ascii="Cambria Math" w:hAnsi="Cambria Math"/>
            <w:lang w:eastAsia="en-US"/>
          </w:rPr>
          <m:t xml:space="preserve"> </m:t>
        </m:r>
        <m:sSup>
          <m:sSupPr>
            <m:ctrlPr>
              <w:rPr>
                <w:rFonts w:ascii="Cambria Math" w:hAnsi="Cambria Math"/>
                <w:lang w:eastAsia="en-US"/>
              </w:rPr>
            </m:ctrlPr>
          </m:sSupPr>
          <m:e>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e>
          <m:sup>
            <m:r>
              <m:rPr>
                <m:sty m:val="p"/>
              </m:rPr>
              <w:rPr>
                <w:rFonts w:ascii="Cambria Math" w:hAnsi="Cambria Math"/>
                <w:lang w:eastAsia="en-US"/>
              </w:rPr>
              <m:t>*</m:t>
            </m:r>
          </m:sup>
        </m:sSup>
      </m:oMath>
      <w:r w:rsidRPr="00AD466D">
        <w:rPr>
          <w:rFonts w:ascii="Cambria Math" w:hAnsi="Cambria Math"/>
          <w:lang w:eastAsia="en-US"/>
        </w:rPr>
        <w:t xml:space="preserve"> </w:t>
      </w:r>
      <w:r w:rsidRPr="00AD466D">
        <w:rPr>
          <w:rFonts w:ascii="Cambria Math" w:hAnsi="Cambria Math"/>
        </w:rPr>
        <w:t xml:space="preserve"> émet un rayonnement électromagnétique </w:t>
      </w:r>
      <w:proofErr w:type="gramStart"/>
      <w:r w:rsidRPr="00AD466D">
        <w:rPr>
          <w:rFonts w:ascii="Cambria Math" w:hAnsi="Cambria Math"/>
        </w:rPr>
        <w:t>d’énergie</w:t>
      </w:r>
      <w:r>
        <w:rPr>
          <w:rFonts w:ascii="Cambria Math" w:hAnsi="Cambria Math"/>
        </w:rPr>
        <w:t xml:space="preserve"> </w:t>
      </w:r>
      <w:r w:rsidRPr="00AD466D">
        <w:rPr>
          <w:rFonts w:ascii="Cambria Math" w:hAnsi="Cambria Math"/>
        </w:rPr>
        <w:t xml:space="preserve"> </w:t>
      </w:r>
      <m:oMath>
        <w:proofErr w:type="gramEnd"/>
        <m:r>
          <m:rPr>
            <m:sty m:val="p"/>
          </m:rPr>
          <w:rPr>
            <w:rFonts w:ascii="Cambria Math" w:hAnsi="Cambria Math"/>
          </w:rPr>
          <m:t>E= 365 keV</m:t>
        </m:r>
      </m:oMath>
      <w:r w:rsidRPr="00EF2E4E">
        <w:rPr>
          <w:rFonts w:ascii="Cambria Math" w:hAnsi="Cambria Math"/>
        </w:rPr>
        <w:t>.</w:t>
      </w:r>
    </w:p>
    <w:p w:rsidR="00E30FD0" w:rsidRDefault="00E30FD0" w:rsidP="00E30FD0">
      <w:pPr>
        <w:autoSpaceDE w:val="0"/>
        <w:autoSpaceDN w:val="0"/>
        <w:adjustRightInd w:val="0"/>
        <w:spacing w:after="120"/>
        <w:ind w:left="284"/>
        <w:jc w:val="both"/>
        <w:rPr>
          <w:rFonts w:ascii="Cambria Math" w:hAnsi="Cambria Math"/>
        </w:rPr>
      </w:pPr>
      <w:r>
        <w:rPr>
          <w:rFonts w:ascii="Cambria Math" w:hAnsi="Cambria Math"/>
        </w:rPr>
        <w:t>L</w:t>
      </w:r>
      <w:r w:rsidRPr="00AD466D">
        <w:rPr>
          <w:rFonts w:ascii="Cambria Math" w:hAnsi="Cambria Math"/>
        </w:rPr>
        <w:t xml:space="preserve">a longueur d’onde </w:t>
      </w:r>
      <m:oMath>
        <m:r>
          <m:rPr>
            <m:sty m:val="p"/>
          </m:rPr>
          <w:rPr>
            <w:rFonts w:ascii="Cambria Math" w:hAnsi="Cambria Math"/>
          </w:rPr>
          <w:sym w:font="Symbol" w:char="F06C"/>
        </m:r>
        <m:r>
          <m:rPr>
            <m:sty m:val="p"/>
          </m:rPr>
          <w:rPr>
            <w:rFonts w:ascii="Cambria Math" w:hAnsi="Cambria Math"/>
          </w:rPr>
          <m:t xml:space="preserve"> </m:t>
        </m:r>
      </m:oMath>
      <w:r w:rsidRPr="00AD466D">
        <w:rPr>
          <w:rFonts w:ascii="Cambria Math" w:hAnsi="Cambria Math"/>
        </w:rPr>
        <w:t xml:space="preserve">de ce rayonnement </w:t>
      </w:r>
      <w:r>
        <w:rPr>
          <w:rFonts w:ascii="Cambria Math" w:hAnsi="Cambria Math"/>
        </w:rPr>
        <w:t>est :</w:t>
      </w:r>
    </w:p>
    <w:p w:rsidR="00E30FD0" w:rsidRDefault="00E30FD0" w:rsidP="00E30FD0">
      <w:pPr>
        <w:autoSpaceDE w:val="0"/>
        <w:autoSpaceDN w:val="0"/>
        <w:adjustRightInd w:val="0"/>
        <w:spacing w:after="120"/>
        <w:ind w:left="284"/>
        <w:jc w:val="both"/>
        <w:rPr>
          <w:rFonts w:ascii="Cambria Math" w:hAnsi="Cambria Math"/>
        </w:rPr>
      </w:pPr>
      <m:oMathPara>
        <m:oMathParaPr>
          <m:jc m:val="left"/>
        </m:oMathParaPr>
        <m:oMath>
          <m:r>
            <m:rPr>
              <m:sty m:val="p"/>
            </m:rPr>
            <w:rPr>
              <w:rFonts w:ascii="Cambria Math" w:hAnsi="Cambria Math"/>
            </w:rPr>
            <w:sym w:font="Symbol" w:char="F06C"/>
          </m:r>
          <m:r>
            <m:rPr>
              <m:sty m:val="p"/>
            </m:rPr>
            <w:rPr>
              <w:rFonts w:ascii="Cambria Math" w:hAnsi="Cambria Math"/>
            </w:rPr>
            <m:t>=</m:t>
          </m:r>
          <m:f>
            <m:fPr>
              <m:ctrlPr>
                <w:rPr>
                  <w:rFonts w:ascii="Cambria Math" w:hAnsi="Cambria Math"/>
                </w:rPr>
              </m:ctrlPr>
            </m:fPr>
            <m:num>
              <m:r>
                <m:rPr>
                  <m:sty m:val="p"/>
                </m:rPr>
                <w:rPr>
                  <w:rFonts w:ascii="Cambria Math" w:hAnsi="Cambria Math"/>
                </w:rPr>
                <m:t>h×c</m:t>
              </m:r>
            </m:num>
            <m:den>
              <m:r>
                <m:rPr>
                  <m:sty m:val="p"/>
                </m:rPr>
                <w:rPr>
                  <w:rFonts w:ascii="Cambria Math" w:hAnsi="Cambria Math"/>
                </w:rPr>
                <m:t xml:space="preserve">E </m:t>
              </m:r>
            </m:den>
          </m:f>
          <m:r>
            <m:rPr>
              <m:sty m:val="p"/>
            </m:rPr>
            <w:rPr>
              <w:rFonts w:ascii="Cambria Math" w:hAnsi="Cambria Math"/>
            </w:rPr>
            <m:t>=</m:t>
          </m:r>
          <m:f>
            <m:fPr>
              <m:ctrlPr>
                <w:rPr>
                  <w:rFonts w:ascii="Cambria Math" w:hAnsi="Cambria Math"/>
                </w:rPr>
              </m:ctrlPr>
            </m:fPr>
            <m:num>
              <m:r>
                <m:rPr>
                  <m:sty m:val="p"/>
                </m:rPr>
                <w:rPr>
                  <w:rFonts w:ascii="Cambria Math" w:hAnsi="Cambria Math"/>
                </w:rPr>
                <m:t>6,626.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-34</m:t>
                  </m:r>
                </m:sup>
              </m:sSup>
              <m:r>
                <m:rPr>
                  <m:sty m:val="p"/>
                </m:rPr>
                <w:rPr>
                  <w:rFonts w:ascii="Cambria Math" w:hAnsi="Cambria Math"/>
                </w:rPr>
                <m:t>×299792458</m:t>
              </m:r>
            </m:num>
            <m:den>
              <m:r>
                <m:rPr>
                  <m:sty m:val="p"/>
                </m:rPr>
                <w:rPr>
                  <w:rFonts w:ascii="Cambria Math" w:hAnsi="Cambria Math"/>
                </w:rPr>
                <m:t>365.</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3</m:t>
                  </m:r>
                </m:sup>
              </m:sSup>
              <m:r>
                <m:rPr>
                  <m:sty m:val="p"/>
                </m:rPr>
                <w:rPr>
                  <w:rFonts w:ascii="Cambria Math" w:hAnsi="Cambria Math"/>
                </w:rPr>
                <m:t>×1,602.</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-19</m:t>
                  </m:r>
                </m:sup>
              </m:sSup>
            </m:den>
          </m:f>
          <m:r>
            <m:rPr>
              <m:sty m:val="p"/>
            </m:rPr>
            <w:rPr>
              <w:rFonts w:ascii="Cambria Math" w:hAnsi="Cambria Math"/>
            </w:rPr>
            <m:t xml:space="preserve"> = 3,39.</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-12</m:t>
              </m:r>
            </m:sup>
          </m:sSup>
          <m:r>
            <m:rPr>
              <m:sty m:val="p"/>
            </m:rPr>
            <w:rPr>
              <w:rFonts w:ascii="Cambria Math" w:hAnsi="Cambria Math"/>
            </w:rPr>
            <m:t xml:space="preserve"> m=3,39.</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-3</m:t>
              </m:r>
            </m:sup>
          </m:sSup>
          <m:r>
            <m:rPr>
              <m:sty m:val="p"/>
            </m:rPr>
            <w:rPr>
              <w:rFonts w:ascii="Cambria Math" w:hAnsi="Cambria Math"/>
            </w:rPr>
            <m:t xml:space="preserve"> nm</m:t>
          </m:r>
        </m:oMath>
      </m:oMathPara>
    </w:p>
    <w:p w:rsidR="00E30FD0" w:rsidRPr="00AD466D" w:rsidRDefault="00E30FD0" w:rsidP="00E30FD0">
      <w:pPr>
        <w:autoSpaceDE w:val="0"/>
        <w:autoSpaceDN w:val="0"/>
        <w:adjustRightInd w:val="0"/>
        <w:spacing w:after="120"/>
        <w:ind w:left="284"/>
        <w:rPr>
          <w:rFonts w:ascii="Cambria Math" w:hAnsi="Cambria Math"/>
        </w:rPr>
      </w:pPr>
      <w:r>
        <w:rPr>
          <w:rFonts w:ascii="Cambria Math" w:hAnsi="Cambria Math"/>
        </w:rPr>
        <w:t>On a :</w:t>
      </w:r>
      <w:r w:rsidRPr="00AD466D">
        <w:rPr>
          <w:rFonts w:ascii="Cambria Math" w:hAnsi="Cambria Math"/>
        </w:rPr>
        <w:t xml:space="preserve">    </w:t>
      </w:r>
      <w:r w:rsidRPr="00AD466D">
        <w:rPr>
          <w:rFonts w:ascii="Cambria Math" w:hAnsi="Cambria Math"/>
        </w:rPr>
        <w:sym w:font="Symbol" w:char="F06C"/>
      </w:r>
      <w:r w:rsidRPr="00AD466D">
        <w:rPr>
          <w:rFonts w:ascii="Cambria Math" w:hAnsi="Cambria Math"/>
        </w:rPr>
        <w:t xml:space="preserve"> &lt; 10</w:t>
      </w:r>
      <w:r w:rsidRPr="00AD466D">
        <w:rPr>
          <w:rFonts w:ascii="Cambria Math" w:hAnsi="Cambria Math"/>
          <w:vertAlign w:val="superscript"/>
        </w:rPr>
        <w:t>-2</w:t>
      </w:r>
      <w:r w:rsidRPr="00AD466D">
        <w:rPr>
          <w:rFonts w:ascii="Cambria Math" w:hAnsi="Cambria Math"/>
        </w:rPr>
        <w:t xml:space="preserve"> nm</w:t>
      </w:r>
      <w:r>
        <w:rPr>
          <w:rFonts w:ascii="Cambria Math" w:hAnsi="Cambria Math"/>
        </w:rPr>
        <w:t>, ce qui correspond à un</w:t>
      </w:r>
      <w:r w:rsidRPr="00AD466D">
        <w:rPr>
          <w:rFonts w:ascii="Cambria Math" w:hAnsi="Cambria Math"/>
        </w:rPr>
        <w:t xml:space="preserve"> rayonnement gamma.</w:t>
      </w:r>
    </w:p>
    <w:p w:rsidR="00E30FD0" w:rsidRPr="00AD466D" w:rsidRDefault="00E30FD0" w:rsidP="00E30FD0">
      <w:pPr>
        <w:autoSpaceDE w:val="0"/>
        <w:autoSpaceDN w:val="0"/>
        <w:adjustRightInd w:val="0"/>
        <w:spacing w:after="120"/>
        <w:ind w:left="284"/>
        <w:rPr>
          <w:rFonts w:ascii="Cambria Math" w:hAnsi="Cambria Math"/>
        </w:rPr>
      </w:pPr>
      <w:r w:rsidRPr="00AD466D">
        <w:rPr>
          <w:rFonts w:ascii="Cambria Math" w:hAnsi="Cambria Math"/>
        </w:rPr>
        <w:t xml:space="preserve">L’équation de la désexcitation peut s’écrire :  </w:t>
      </w:r>
      <m:oMath>
        <m:sSup>
          <m:sSupPr>
            <m:ctrlPr>
              <w:rPr>
                <w:rFonts w:ascii="Cambria Math" w:hAnsi="Cambria Math"/>
                <w:lang w:eastAsia="en-US"/>
              </w:rPr>
            </m:ctrlPr>
          </m:sSupPr>
          <m:e>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e>
          <m:sup>
            <m:r>
              <m:rPr>
                <m:sty m:val="p"/>
              </m:rPr>
              <w:rPr>
                <w:rFonts w:ascii="Cambria Math" w:hAnsi="Cambria Math"/>
                <w:lang w:eastAsia="en-US"/>
              </w:rPr>
              <m:t>*</m:t>
            </m:r>
          </m:sup>
        </m:sSup>
        <m:r>
          <m:rPr>
            <m:sty m:val="p"/>
          </m:rPr>
          <w:rPr>
            <w:rFonts w:ascii="Cambria Math" w:hAnsi="Cambria Math"/>
            <w:lang w:eastAsia="en-US"/>
          </w:rPr>
          <m:t xml:space="preserve"> →  </m:t>
        </m:r>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r>
          <m:rPr>
            <m:sty m:val="p"/>
          </m:rPr>
          <w:rPr>
            <w:rFonts w:ascii="Cambria Math" w:hAnsi="Cambria Math"/>
            <w:lang w:eastAsia="en-US"/>
          </w:rPr>
          <m:t>+</m:t>
        </m:r>
        <m:r>
          <m:rPr>
            <m:sty m:val="p"/>
          </m:rPr>
          <w:rPr>
            <w:rFonts w:ascii="Cambria Math" w:hAnsi="Cambria Math"/>
            <w:lang w:eastAsia="en-US"/>
          </w:rPr>
          <w:sym w:font="Symbol" w:char="F067"/>
        </m:r>
      </m:oMath>
    </w:p>
    <w:p w:rsidR="00E30FD0" w:rsidRPr="00AD466D" w:rsidRDefault="00E30FD0" w:rsidP="00E30FD0">
      <w:pPr>
        <w:autoSpaceDE w:val="0"/>
        <w:autoSpaceDN w:val="0"/>
        <w:adjustRightInd w:val="0"/>
        <w:ind w:left="284"/>
        <w:rPr>
          <w:rFonts w:ascii="Cambria Math" w:hAnsi="Cambria Math"/>
          <w:lang w:eastAsia="en-US"/>
        </w:rPr>
      </w:pPr>
      <w:r w:rsidRPr="00AD466D">
        <w:rPr>
          <w:rFonts w:ascii="Cambria Math" w:hAnsi="Cambria Math"/>
          <w:lang w:eastAsia="en-US"/>
        </w:rPr>
        <w:t xml:space="preserve">D’après le document, les rayonnements gamma sont dangereux et </w:t>
      </w:r>
      <w:r>
        <w:rPr>
          <w:rFonts w:ascii="Cambria Math" w:hAnsi="Cambria Math"/>
          <w:lang w:eastAsia="en-US"/>
        </w:rPr>
        <w:t>peuvent être</w:t>
      </w:r>
      <w:r w:rsidRPr="00AD466D">
        <w:rPr>
          <w:rFonts w:ascii="Cambria Math" w:hAnsi="Cambria Math"/>
          <w:lang w:eastAsia="en-US"/>
        </w:rPr>
        <w:t xml:space="preserve"> atténués par un blindage en plomb.</w:t>
      </w:r>
    </w:p>
    <w:p w:rsidR="00E30FD0" w:rsidRDefault="00E30FD0" w:rsidP="00E30FD0">
      <w:pPr>
        <w:autoSpaceDE w:val="0"/>
        <w:autoSpaceDN w:val="0"/>
        <w:adjustRightInd w:val="0"/>
        <w:ind w:left="284"/>
        <w:rPr>
          <w:rFonts w:ascii="Cambria Math" w:hAnsi="Cambria Math"/>
          <w:lang w:eastAsia="en-US"/>
        </w:rPr>
      </w:pPr>
      <w:r>
        <w:rPr>
          <w:rFonts w:ascii="Cambria Math" w:hAnsi="Cambria Math"/>
          <w:lang w:eastAsia="en-US"/>
        </w:rPr>
        <w:t>Ceci justifie</w:t>
      </w:r>
      <w:r w:rsidRPr="00AD466D">
        <w:rPr>
          <w:rFonts w:ascii="Cambria Math" w:hAnsi="Cambria Math"/>
          <w:lang w:eastAsia="en-US"/>
        </w:rPr>
        <w:t xml:space="preserve"> les précautions prises pour stocker et manipuler les gélules d’iode 131, </w:t>
      </w:r>
      <w:r>
        <w:rPr>
          <w:rFonts w:ascii="Cambria Math" w:hAnsi="Cambria Math"/>
          <w:lang w:eastAsia="en-US"/>
        </w:rPr>
        <w:t>notamment</w:t>
      </w:r>
      <w:r w:rsidRPr="00AD466D">
        <w:rPr>
          <w:rFonts w:ascii="Cambria Math" w:hAnsi="Cambria Math"/>
          <w:lang w:eastAsia="en-US"/>
        </w:rPr>
        <w:t xml:space="preserve"> le pot en plomb.</w:t>
      </w:r>
    </w:p>
    <w:p w:rsidR="00E30FD0" w:rsidRDefault="00E30FD0" w:rsidP="00E30FD0">
      <w:pPr>
        <w:autoSpaceDE w:val="0"/>
        <w:autoSpaceDN w:val="0"/>
        <w:adjustRightInd w:val="0"/>
        <w:ind w:left="284"/>
        <w:rPr>
          <w:rFonts w:ascii="Cambria Math" w:hAnsi="Cambria Math"/>
          <w:lang w:eastAsia="en-US"/>
        </w:rPr>
      </w:pPr>
    </w:p>
    <w:p w:rsidR="00E04663" w:rsidRPr="00AD466D" w:rsidRDefault="00E04663" w:rsidP="00E30FD0">
      <w:pPr>
        <w:autoSpaceDE w:val="0"/>
        <w:autoSpaceDN w:val="0"/>
        <w:adjustRightInd w:val="0"/>
        <w:ind w:left="284"/>
        <w:rPr>
          <w:rFonts w:ascii="Cambria Math" w:hAnsi="Cambria Math"/>
          <w:lang w:eastAsia="en-US"/>
        </w:rPr>
      </w:pPr>
    </w:p>
    <w:p w:rsidR="00E30FD0" w:rsidRPr="00383A9F" w:rsidRDefault="00E30FD0" w:rsidP="00E30FD0">
      <w:pPr>
        <w:autoSpaceDE w:val="0"/>
        <w:autoSpaceDN w:val="0"/>
        <w:adjustRightInd w:val="0"/>
        <w:spacing w:after="120"/>
        <w:ind w:left="284" w:hanging="284"/>
        <w:jc w:val="both"/>
        <w:rPr>
          <w:rFonts w:ascii="Cambria Math" w:hAnsi="Cambria Math"/>
          <w:b/>
          <w:u w:val="single"/>
          <w:lang w:eastAsia="en-US"/>
        </w:rPr>
      </w:pPr>
      <w:r w:rsidRPr="00383A9F">
        <w:rPr>
          <w:rFonts w:ascii="Cambria Math" w:hAnsi="Cambria Math"/>
          <w:b/>
          <w:u w:val="single"/>
          <w:lang w:eastAsia="en-US"/>
        </w:rPr>
        <w:t>Problème</w:t>
      </w:r>
      <w:r w:rsidRPr="00383A9F">
        <w:rPr>
          <w:rFonts w:ascii="Cambria Math" w:hAnsi="Cambria Math"/>
          <w:b/>
          <w:lang w:eastAsia="en-US"/>
        </w:rPr>
        <w:t> :</w:t>
      </w:r>
    </w:p>
    <w:p w:rsidR="00E30FD0" w:rsidRPr="00AD466D" w:rsidRDefault="00E30FD0" w:rsidP="00E30FD0">
      <w:pPr>
        <w:autoSpaceDE w:val="0"/>
        <w:autoSpaceDN w:val="0"/>
        <w:adjustRightInd w:val="0"/>
        <w:spacing w:after="120"/>
        <w:ind w:left="284"/>
        <w:jc w:val="both"/>
        <w:rPr>
          <w:rFonts w:ascii="Cambria Math" w:hAnsi="Cambria Math"/>
          <w:lang w:eastAsia="en-US"/>
        </w:rPr>
      </w:pPr>
      <w:r>
        <w:rPr>
          <w:rFonts w:ascii="Cambria Math" w:hAnsi="Cambria Math"/>
          <w:lang w:eastAsia="en-US"/>
        </w:rPr>
        <w:t>D’après le document</w:t>
      </w:r>
      <w:r w:rsidRPr="00AD466D">
        <w:rPr>
          <w:rFonts w:ascii="Cambria Math" w:hAnsi="Cambria Math"/>
          <w:lang w:eastAsia="en-US"/>
        </w:rPr>
        <w:t xml:space="preserve">, la thyroïde capte l’iode dans l’alimentation. L’iode est donc un élément intéressant dans le traitement de la thyroïde puisque il est </w:t>
      </w:r>
      <w:r>
        <w:rPr>
          <w:rFonts w:ascii="Cambria Math" w:hAnsi="Cambria Math"/>
          <w:lang w:eastAsia="en-US"/>
        </w:rPr>
        <w:t>fixé</w:t>
      </w:r>
      <w:r w:rsidRPr="00AD466D">
        <w:rPr>
          <w:rFonts w:ascii="Cambria Math" w:hAnsi="Cambria Math"/>
          <w:lang w:eastAsia="en-US"/>
        </w:rPr>
        <w:t xml:space="preserve"> naturellement par cette glande. Les noyaux d’iode contenus dans la gélule sont donc captés par la thyroïde et les électrons émis détruisent « de l’intérieur » les cellules visées.</w:t>
      </w:r>
    </w:p>
    <w:p w:rsidR="00E30FD0" w:rsidRPr="00AD466D" w:rsidRDefault="00E30FD0" w:rsidP="00E30FD0">
      <w:pPr>
        <w:autoSpaceDE w:val="0"/>
        <w:autoSpaceDN w:val="0"/>
        <w:adjustRightInd w:val="0"/>
        <w:spacing w:after="120"/>
        <w:ind w:left="284"/>
        <w:jc w:val="both"/>
        <w:rPr>
          <w:rFonts w:ascii="Cambria Math" w:eastAsia="Calibri" w:hAnsi="Cambria Math"/>
          <w:lang w:eastAsia="en-US"/>
        </w:rPr>
      </w:pPr>
      <w:r w:rsidRPr="00AD466D">
        <w:rPr>
          <w:rFonts w:ascii="Cambria Math" w:eastAsia="Calibri" w:hAnsi="Cambria Math"/>
          <w:lang w:eastAsia="en-US"/>
        </w:rPr>
        <w:t>Pour que l’iode 131 soit adapté au traitement, il faut également que les électrons produits endommagent le moins possible les cellules voisines. D’après le document, « il faut que les particules produites (les électrons) ne pénètrent que de quelques millimètres les tissus voisins. ».</w:t>
      </w:r>
    </w:p>
    <w:p w:rsidR="00E30FD0" w:rsidRPr="00AD466D" w:rsidRDefault="00E30FD0" w:rsidP="00E30FD0">
      <w:pPr>
        <w:autoSpaceDE w:val="0"/>
        <w:autoSpaceDN w:val="0"/>
        <w:adjustRightInd w:val="0"/>
        <w:spacing w:after="120"/>
        <w:ind w:left="284"/>
        <w:jc w:val="both"/>
        <w:rPr>
          <w:rFonts w:ascii="Cambria Math" w:eastAsia="Calibri" w:hAnsi="Cambria Math"/>
          <w:lang w:eastAsia="en-US"/>
        </w:rPr>
      </w:pPr>
      <w:r w:rsidRPr="00AD466D">
        <w:rPr>
          <w:rFonts w:ascii="Cambria Math" w:eastAsia="Calibri" w:hAnsi="Cambria Math"/>
          <w:lang w:eastAsia="en-US"/>
        </w:rPr>
        <w:t xml:space="preserve">Pour montrer que cette condition est respectée, on </w:t>
      </w:r>
      <w:r>
        <w:rPr>
          <w:rFonts w:ascii="Cambria Math" w:eastAsia="Calibri" w:hAnsi="Cambria Math"/>
          <w:lang w:eastAsia="en-US"/>
        </w:rPr>
        <w:t>calcule</w:t>
      </w:r>
      <w:r w:rsidRPr="00AD466D">
        <w:rPr>
          <w:rFonts w:ascii="Cambria Math" w:eastAsia="Calibri" w:hAnsi="Cambria Math"/>
          <w:lang w:eastAsia="en-US"/>
        </w:rPr>
        <w:t xml:space="preserve"> l’énergie libérée par la désintégration d’équation :</w:t>
      </w:r>
    </w:p>
    <w:p w:rsidR="00E30FD0" w:rsidRDefault="002067FE" w:rsidP="00E30FD0">
      <w:pPr>
        <w:autoSpaceDE w:val="0"/>
        <w:autoSpaceDN w:val="0"/>
        <w:adjustRightInd w:val="0"/>
        <w:spacing w:after="120"/>
        <w:ind w:left="284" w:hanging="284"/>
        <w:jc w:val="center"/>
        <w:rPr>
          <w:rFonts w:ascii="Cambria Math" w:hAnsi="Cambria Math"/>
          <w:lang w:eastAsia="en-US"/>
        </w:rPr>
      </w:pPr>
      <m:oMathPara>
        <m:oMath>
          <m:sPre>
            <m:sPrePr>
              <m:ctrlPr>
                <w:rPr>
                  <w:rFonts w:ascii="Cambria Math" w:hAnsi="Cambria Math"/>
                  <w:lang w:eastAsia="en-US"/>
                </w:rPr>
              </m:ctrlPr>
            </m:sPrePr>
            <m:sub>
              <m:r>
                <m:rPr>
                  <m:sty m:val="p"/>
                </m:rPr>
                <w:rPr>
                  <w:rFonts w:ascii="Cambria Math" w:hAnsi="Cambria Math"/>
                  <w:lang w:eastAsia="en-US"/>
                </w:rPr>
                <m:t xml:space="preserve">53 </m:t>
              </m:r>
            </m:sub>
            <m:sup>
              <m:r>
                <m:rPr>
                  <m:sty m:val="p"/>
                </m:rPr>
                <w:rPr>
                  <w:rFonts w:ascii="Cambria Math" w:hAnsi="Cambria Math"/>
                  <w:lang w:eastAsia="en-US"/>
                </w:rPr>
                <m:t xml:space="preserve">131 </m:t>
              </m:r>
            </m:sup>
            <m:e>
              <m:r>
                <m:rPr>
                  <m:sty m:val="p"/>
                </m:rPr>
                <w:rPr>
                  <w:rFonts w:ascii="Cambria Math" w:hAnsi="Cambria Math"/>
                  <w:lang w:eastAsia="en-US"/>
                </w:rPr>
                <m:t>I</m:t>
              </m:r>
            </m:e>
          </m:sPre>
          <m:r>
            <m:rPr>
              <m:sty m:val="p"/>
            </m:rPr>
            <w:rPr>
              <w:rFonts w:ascii="Cambria Math" w:hAnsi="Cambria Math"/>
              <w:lang w:eastAsia="en-US"/>
            </w:rPr>
            <m:t xml:space="preserve">   →  </m:t>
          </m:r>
          <m:sSup>
            <m:sSupPr>
              <m:ctrlPr>
                <w:rPr>
                  <w:rFonts w:ascii="Cambria Math" w:hAnsi="Cambria Math"/>
                  <w:lang w:eastAsia="en-US"/>
                </w:rPr>
              </m:ctrlPr>
            </m:sSupPr>
            <m:e>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e>
            <m:sup>
              <m:r>
                <m:rPr>
                  <m:sty m:val="p"/>
                </m:rPr>
                <w:rPr>
                  <w:rFonts w:ascii="Cambria Math" w:hAnsi="Cambria Math"/>
                  <w:lang w:eastAsia="en-US"/>
                </w:rPr>
                <m:t>*</m:t>
              </m:r>
            </m:sup>
          </m:sSup>
          <m:r>
            <m:rPr>
              <m:sty m:val="p"/>
            </m:rPr>
            <w:rPr>
              <w:rFonts w:ascii="Cambria Math" w:hAnsi="Cambria Math"/>
              <w:lang w:eastAsia="en-US"/>
            </w:rPr>
            <m:t xml:space="preserve">+ </m:t>
          </m:r>
          <m:sPre>
            <m:sPrePr>
              <m:ctrlPr>
                <w:rPr>
                  <w:rFonts w:ascii="Cambria Math" w:hAnsi="Cambria Math"/>
                  <w:lang w:eastAsia="en-US"/>
                </w:rPr>
              </m:ctrlPr>
            </m:sPrePr>
            <m:sub>
              <m:r>
                <m:rPr>
                  <m:sty m:val="p"/>
                </m:rPr>
                <w:rPr>
                  <w:rFonts w:ascii="Cambria Math" w:hAnsi="Cambria Math"/>
                  <w:lang w:eastAsia="en-US"/>
                </w:rPr>
                <m:t>-1</m:t>
              </m:r>
            </m:sub>
            <m:sup>
              <m:r>
                <m:rPr>
                  <m:sty m:val="p"/>
                </m:rPr>
                <w:rPr>
                  <w:rFonts w:ascii="Cambria Math" w:hAnsi="Cambria Math"/>
                  <w:lang w:eastAsia="en-US"/>
                </w:rPr>
                <m:t>0</m:t>
              </m:r>
            </m:sup>
            <m:e>
              <m:r>
                <m:rPr>
                  <m:sty m:val="p"/>
                </m:rPr>
                <w:rPr>
                  <w:rFonts w:ascii="Cambria Math" w:hAnsi="Cambria Math"/>
                  <w:lang w:eastAsia="en-US"/>
                </w:rPr>
                <m:t>e</m:t>
              </m:r>
            </m:e>
          </m:sPre>
        </m:oMath>
      </m:oMathPara>
    </w:p>
    <w:p w:rsidR="00E30FD0" w:rsidRDefault="002067FE" w:rsidP="00E30FD0">
      <w:pPr>
        <w:autoSpaceDE w:val="0"/>
        <w:autoSpaceDN w:val="0"/>
        <w:adjustRightInd w:val="0"/>
        <w:spacing w:after="120"/>
        <w:ind w:left="284"/>
        <w:jc w:val="both"/>
      </w:pPr>
      <m:oMathPara>
        <m:oMathParaPr>
          <m:jc m:val="left"/>
        </m:oMathParaPr>
        <m:oMath>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m:t>
              </m:r>
              <m:d>
                <m:dPr>
                  <m:ctrlPr>
                    <w:rPr>
                      <w:rFonts w:ascii="Cambria Math" w:hAnsi="Cambria Math"/>
                    </w:rPr>
                  </m:ctrlPr>
                </m:dPr>
                <m:e>
                  <m:sPre>
                    <m:sPrePr>
                      <m:ctrlPr>
                        <w:rPr>
                          <w:rFonts w:ascii="Cambria Math" w:hAnsi="Cambria Math"/>
                          <w:lang w:eastAsia="en-US"/>
                        </w:rPr>
                      </m:ctrlPr>
                    </m:sPrePr>
                    <m:sub>
                      <m:r>
                        <m:rPr>
                          <m:sty m:val="p"/>
                        </m:rPr>
                        <w:rPr>
                          <w:rFonts w:ascii="Cambria Math" w:hAnsi="Cambria Math"/>
                          <w:lang w:eastAsia="en-US"/>
                        </w:rPr>
                        <m:t>54 </m:t>
                      </m:r>
                    </m:sub>
                    <m:sup>
                      <m:r>
                        <m:rPr>
                          <m:sty m:val="p"/>
                        </m:rPr>
                        <w:rPr>
                          <w:rFonts w:ascii="Cambria Math" w:hAnsi="Cambria Math"/>
                          <w:lang w:eastAsia="en-US"/>
                        </w:rPr>
                        <m:t xml:space="preserve">131 </m:t>
                      </m:r>
                    </m:sup>
                    <m:e>
                      <m:r>
                        <m:rPr>
                          <m:sty m:val="p"/>
                        </m:rPr>
                        <w:rPr>
                          <w:rFonts w:ascii="Cambria Math" w:hAnsi="Cambria Math"/>
                          <w:lang w:eastAsia="en-US"/>
                        </w:rPr>
                        <m:t>Xe</m:t>
                      </m:r>
                    </m:e>
                  </m:sPre>
                  <m:ctrlPr>
                    <w:rPr>
                      <w:rFonts w:ascii="Cambria Math" w:hAnsi="Cambria Math"/>
                      <w:lang w:eastAsia="en-US"/>
                    </w:rPr>
                  </m:ctrlPr>
                </m:e>
              </m:d>
              <m:r>
                <m:rPr>
                  <m:sty m:val="p"/>
                </m:rPr>
                <w:rPr>
                  <w:rFonts w:ascii="Cambria Math" w:hAnsi="Cambria Math"/>
                  <w:lang w:eastAsia="en-US"/>
                </w:rPr>
                <m:t>+m</m:t>
              </m:r>
              <m:d>
                <m:dPr>
                  <m:ctrlPr>
                    <w:rPr>
                      <w:rFonts w:ascii="Cambria Math" w:hAnsi="Cambria Math"/>
                      <w:lang w:eastAsia="en-US"/>
                    </w:rPr>
                  </m:ctrlPr>
                </m:dPr>
                <m:e>
                  <m:sPre>
                    <m:sPrePr>
                      <m:ctrlPr>
                        <w:rPr>
                          <w:rFonts w:ascii="Cambria Math" w:hAnsi="Cambria Math"/>
                          <w:lang w:eastAsia="en-US"/>
                        </w:rPr>
                      </m:ctrlPr>
                    </m:sPrePr>
                    <m:sub>
                      <m:r>
                        <m:rPr>
                          <m:sty m:val="p"/>
                        </m:rPr>
                        <w:rPr>
                          <w:rFonts w:ascii="Cambria Math" w:hAnsi="Cambria Math"/>
                          <w:lang w:eastAsia="en-US"/>
                        </w:rPr>
                        <m:t>-1</m:t>
                      </m:r>
                    </m:sub>
                    <m:sup>
                      <m:r>
                        <m:rPr>
                          <m:sty m:val="p"/>
                        </m:rPr>
                        <w:rPr>
                          <w:rFonts w:ascii="Cambria Math" w:hAnsi="Cambria Math"/>
                          <w:lang w:eastAsia="en-US"/>
                        </w:rPr>
                        <m:t>0</m:t>
                      </m:r>
                    </m:sup>
                    <m:e>
                      <m:r>
                        <m:rPr>
                          <m:sty m:val="p"/>
                        </m:rPr>
                        <w:rPr>
                          <w:rFonts w:ascii="Cambria Math" w:hAnsi="Cambria Math"/>
                          <w:lang w:eastAsia="en-US"/>
                        </w:rPr>
                        <m:t>e</m:t>
                      </m:r>
                    </m:e>
                  </m:sPre>
                </m:e>
              </m:d>
              <m:r>
                <m:rPr>
                  <m:sty m:val="p"/>
                </m:rPr>
                <w:rPr>
                  <w:rFonts w:ascii="Cambria Math" w:hAnsi="Cambria Math"/>
                  <w:lang w:eastAsia="en-US"/>
                </w:rPr>
                <m:t>-m(</m:t>
              </m:r>
              <m:sPre>
                <m:sPrePr>
                  <m:ctrlPr>
                    <w:rPr>
                      <w:rFonts w:ascii="Cambria Math" w:hAnsi="Cambria Math"/>
                      <w:lang w:eastAsia="en-US"/>
                    </w:rPr>
                  </m:ctrlPr>
                </m:sPrePr>
                <m:sub>
                  <m:r>
                    <m:rPr>
                      <m:sty m:val="p"/>
                    </m:rPr>
                    <w:rPr>
                      <w:rFonts w:ascii="Cambria Math" w:hAnsi="Cambria Math"/>
                      <w:lang w:eastAsia="en-US"/>
                    </w:rPr>
                    <m:t xml:space="preserve">53 </m:t>
                  </m:r>
                </m:sub>
                <m:sup>
                  <m:r>
                    <m:rPr>
                      <m:sty m:val="p"/>
                    </m:rPr>
                    <w:rPr>
                      <w:rFonts w:ascii="Cambria Math" w:hAnsi="Cambria Math"/>
                      <w:lang w:eastAsia="en-US"/>
                    </w:rPr>
                    <m:t xml:space="preserve">131 </m:t>
                  </m:r>
                </m:sup>
                <m:e>
                  <m:r>
                    <m:rPr>
                      <m:sty m:val="p"/>
                    </m:rPr>
                    <w:rPr>
                      <w:rFonts w:ascii="Cambria Math" w:hAnsi="Cambria Math"/>
                      <w:lang w:eastAsia="en-US"/>
                    </w:rPr>
                    <m:t>I</m:t>
                  </m:r>
                </m:e>
              </m:sPre>
              <m:r>
                <m:rPr>
                  <m:sty m:val="p"/>
                </m:rPr>
                <w:rPr>
                  <w:rFonts w:ascii="Cambria Math" w:hAnsi="Cambria Math"/>
                  <w:lang w:eastAsia="en-US"/>
                </w:rPr>
                <m:t>)</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oMath>
      </m:oMathPara>
    </w:p>
    <w:p w:rsidR="00E30FD0" w:rsidRDefault="002067FE" w:rsidP="00E30FD0">
      <w:pPr>
        <w:autoSpaceDE w:val="0"/>
        <w:autoSpaceDN w:val="0"/>
        <w:adjustRightInd w:val="0"/>
        <w:spacing w:after="120"/>
        <w:ind w:left="284"/>
        <w:jc w:val="both"/>
      </w:pPr>
      <m:oMathPara>
        <m:oMathParaPr>
          <m:jc m:val="left"/>
        </m:oMathParaPr>
        <m:oMath>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130,8755+0,00055-130,8771</m:t>
                  </m:r>
                  <m:ctrlPr>
                    <w:rPr>
                      <w:rFonts w:ascii="Cambria Math" w:hAnsi="Cambria Math"/>
                      <w:lang w:eastAsia="en-US"/>
                    </w:rPr>
                  </m:ctrlPr>
                </m:e>
              </m:d>
              <m:r>
                <m:rPr>
                  <m:sty m:val="p"/>
                </m:rPr>
                <w:rPr>
                  <w:rFonts w:ascii="Cambria Math" w:hAnsi="Cambria Math"/>
                  <w:lang w:eastAsia="en-US"/>
                </w:rPr>
                <m:t>×1,66054.</m:t>
              </m:r>
              <m:sSup>
                <m:sSupPr>
                  <m:ctrlPr>
                    <w:rPr>
                      <w:rFonts w:ascii="Cambria Math" w:hAnsi="Cambria Math"/>
                      <w:lang w:eastAsia="en-US"/>
                    </w:rPr>
                  </m:ctrlPr>
                </m:sSupPr>
                <m:e>
                  <m:r>
                    <m:rPr>
                      <m:sty m:val="p"/>
                    </m:rPr>
                    <w:rPr>
                      <w:rFonts w:ascii="Cambria Math" w:hAnsi="Cambria Math"/>
                      <w:lang w:eastAsia="en-US"/>
                    </w:rPr>
                    <m:t>10</m:t>
                  </m:r>
                </m:e>
                <m:sup>
                  <m:r>
                    <m:rPr>
                      <m:sty m:val="p"/>
                    </m:rPr>
                    <w:rPr>
                      <w:rFonts w:ascii="Cambria Math" w:hAnsi="Cambria Math"/>
                      <w:lang w:eastAsia="en-US"/>
                    </w:rPr>
                    <m:t>-27</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(299792458)</m:t>
              </m:r>
            </m:e>
            <m:sup>
              <m:r>
                <m:rPr>
                  <m:sty m:val="p"/>
                </m:rPr>
                <w:rPr>
                  <w:rFonts w:ascii="Cambria Math" w:hAnsi="Cambria Math"/>
                </w:rPr>
                <m:t>2</m:t>
              </m:r>
            </m:sup>
          </m:sSup>
          <m:r>
            <m:rPr>
              <m:sty m:val="p"/>
            </m:rPr>
            <w:rPr>
              <w:rFonts w:ascii="Cambria Math" w:hAnsi="Cambria Math"/>
            </w:rPr>
            <m:t>=1,567.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-13</m:t>
              </m:r>
            </m:sup>
          </m:sSup>
          <m:r>
            <m:rPr>
              <m:sty m:val="p"/>
            </m:rPr>
            <w:rPr>
              <w:rFonts w:ascii="Cambria Math" w:hAnsi="Cambria Math"/>
            </w:rPr>
            <m:t xml:space="preserve"> J=978 keV</m:t>
          </m:r>
        </m:oMath>
      </m:oMathPara>
    </w:p>
    <w:p w:rsidR="00E30FD0" w:rsidRPr="00AD466D" w:rsidRDefault="00E30FD0" w:rsidP="00E30FD0">
      <w:pPr>
        <w:autoSpaceDE w:val="0"/>
        <w:autoSpaceDN w:val="0"/>
        <w:adjustRightInd w:val="0"/>
        <w:spacing w:after="120"/>
        <w:ind w:left="284"/>
        <w:rPr>
          <w:rFonts w:ascii="Cambria Math" w:hAnsi="Cambria Math"/>
        </w:rPr>
      </w:pPr>
      <w:r>
        <w:rPr>
          <w:rFonts w:ascii="Cambria Math" w:hAnsi="Cambria Math"/>
          <w:lang w:eastAsia="en-US"/>
        </w:rPr>
        <w:t>D’après le document</w:t>
      </w:r>
      <w:r w:rsidRPr="00AD466D">
        <w:rPr>
          <w:rFonts w:ascii="Cambria Math" w:hAnsi="Cambria Math"/>
          <w:lang w:eastAsia="en-US"/>
        </w:rPr>
        <w:t xml:space="preserve">, une part </w:t>
      </w:r>
      <w:r>
        <w:rPr>
          <w:rFonts w:ascii="Cambria Math" w:hAnsi="Cambria Math"/>
          <w:lang w:eastAsia="en-US"/>
        </w:rPr>
        <w:t xml:space="preserve">égale à </w:t>
      </w:r>
      <w:r w:rsidRPr="00AD466D">
        <w:rPr>
          <w:rFonts w:ascii="Cambria Math" w:hAnsi="Cambria Math"/>
        </w:rPr>
        <w:t xml:space="preserve">365 </w:t>
      </w:r>
      <w:proofErr w:type="spellStart"/>
      <w:r w:rsidRPr="00AD466D">
        <w:rPr>
          <w:rFonts w:ascii="Cambria Math" w:hAnsi="Cambria Math"/>
        </w:rPr>
        <w:t>keV</w:t>
      </w:r>
      <w:proofErr w:type="spellEnd"/>
      <w:r w:rsidRPr="00AD466D">
        <w:rPr>
          <w:rFonts w:ascii="Cambria Math" w:hAnsi="Cambria Math"/>
          <w:lang w:eastAsia="en-US"/>
        </w:rPr>
        <w:t xml:space="preserve"> de cette énergie est convertie en énergie électromagnétique sous la forme du rayonnement gamma de la réaction de désexcitation</w:t>
      </w:r>
      <w:r>
        <w:rPr>
          <w:rFonts w:ascii="Cambria Math" w:hAnsi="Cambria Math"/>
          <w:lang w:eastAsia="en-US"/>
        </w:rPr>
        <w:t>.</w:t>
      </w:r>
    </w:p>
    <w:p w:rsidR="00E30FD0" w:rsidRPr="00AD466D" w:rsidRDefault="00E30FD0" w:rsidP="00E30FD0">
      <w:pPr>
        <w:autoSpaceDE w:val="0"/>
        <w:autoSpaceDN w:val="0"/>
        <w:adjustRightInd w:val="0"/>
        <w:spacing w:after="120"/>
        <w:ind w:left="284"/>
        <w:rPr>
          <w:rFonts w:ascii="Cambria Math" w:hAnsi="Cambria Math"/>
        </w:rPr>
      </w:pPr>
      <w:r w:rsidRPr="00AD466D">
        <w:rPr>
          <w:rFonts w:ascii="Cambria Math" w:hAnsi="Cambria Math"/>
        </w:rPr>
        <w:t>L’électron produit récupère l’énergie</w:t>
      </w:r>
      <w:r>
        <w:rPr>
          <w:rFonts w:ascii="Cambria Math" w:hAnsi="Cambria Math"/>
        </w:rPr>
        <w:t xml:space="preserve"> restante, soi</w:t>
      </w:r>
      <w:r w:rsidRPr="00AD466D">
        <w:rPr>
          <w:rFonts w:ascii="Cambria Math" w:hAnsi="Cambria Math"/>
        </w:rPr>
        <w:t>t</w:t>
      </w:r>
      <w:r>
        <w:rPr>
          <w:rFonts w:ascii="Cambria Math" w:hAnsi="Cambria Math"/>
        </w:rPr>
        <w:t xml:space="preserve"> :    </w:t>
      </w:r>
      <m:oMath>
        <m:sSub>
          <m:sSubPr>
            <m:ctrlPr>
              <w:rPr>
                <w:rFonts w:ascii="Cambria Math" w:hAnsi="Cambria Math"/>
              </w:rPr>
            </m:ctrlPr>
          </m:sSubPr>
          <m:e>
            <m:r>
              <m:rPr>
                <m:sty m:val="p"/>
              </m:rPr>
              <w:rPr>
                <w:rFonts w:ascii="Cambria Math" w:hAnsi="Cambria Math"/>
              </w:rPr>
              <m:t>E</m:t>
            </m:r>
          </m:e>
          <m:sub>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w:sym w:font="Symbol" w:char="F067"/>
            </m:r>
          </m:sub>
        </m:sSub>
        <m:r>
          <m:rPr>
            <m:sty m:val="p"/>
          </m:rPr>
          <w:rPr>
            <w:rFonts w:ascii="Cambria Math" w:hAnsi="Cambria Math"/>
          </w:rPr>
          <m:t xml:space="preserve">=978-365=613 keV. </m:t>
        </m:r>
      </m:oMath>
    </w:p>
    <w:p w:rsidR="00E30FD0" w:rsidRDefault="00E30FD0" w:rsidP="00E30FD0">
      <w:pPr>
        <w:spacing w:after="120"/>
        <w:ind w:left="284"/>
        <w:jc w:val="both"/>
        <w:rPr>
          <w:rFonts w:ascii="Cambria Math" w:hAnsi="Cambria Math"/>
        </w:rPr>
      </w:pPr>
      <w:r w:rsidRPr="00AD466D">
        <w:rPr>
          <w:rFonts w:ascii="Cambria Math" w:hAnsi="Cambria Math"/>
        </w:rPr>
        <w:t>D’après le document, la valeur maximale de la profondeur de pénétration des électrons produits est :</w:t>
      </w:r>
    </w:p>
    <w:p w:rsidR="00681DE4" w:rsidRDefault="002067FE" w:rsidP="00E30FD0">
      <w:pPr>
        <w:spacing w:after="120"/>
        <w:ind w:left="284"/>
        <w:jc w:val="both"/>
        <w:rPr>
          <w:rFonts w:ascii="Cambria Math" w:hAnsi="Cambria Math"/>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max</m:t>
            </m:r>
          </m:sub>
        </m:sSub>
        <m:r>
          <m:rPr>
            <m:sty m:val="p"/>
          </m:rPr>
          <w:rPr>
            <w:rFonts w:ascii="Cambria Math" w:hAnsi="Cambria Math"/>
          </w:rPr>
          <m:t>=</m:t>
        </m:r>
        <m:f>
          <m:fPr>
            <m:ctrlPr>
              <w:rPr>
                <w:rFonts w:ascii="Cambria Math" w:hAnsi="Cambria Math"/>
              </w:rPr>
            </m:ctrlPr>
          </m:fPr>
          <m:num>
            <m:r>
              <m:rPr>
                <m:sty m:val="p"/>
              </m:rPr>
              <w:rPr>
                <w:rFonts w:ascii="Cambria Math" w:hAnsi="Cambria Math"/>
              </w:rPr>
              <m:t>0,215</m:t>
            </m:r>
          </m:num>
          <m:den>
            <m:r>
              <m:rPr>
                <m:sty m:val="p"/>
              </m:rPr>
              <w:rPr>
                <w:rFonts w:ascii="Cambria Math" w:hAnsi="Cambria Math"/>
              </w:rPr>
              <m:t>1,0</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(0,613)</m:t>
            </m:r>
          </m:e>
          <m:sup>
            <m:r>
              <m:rPr>
                <m:sty m:val="p"/>
              </m:rPr>
              <w:rPr>
                <w:rFonts w:ascii="Cambria Math" w:hAnsi="Cambria Math"/>
              </w:rPr>
              <m:t>1,66</m:t>
            </m:r>
          </m:sup>
        </m:sSup>
        <m:r>
          <m:rPr>
            <m:sty m:val="p"/>
          </m:rPr>
          <w:rPr>
            <w:rFonts w:ascii="Cambria Math" w:hAnsi="Cambria Math"/>
          </w:rPr>
          <m:t>=0,095 cm=0,95 mm</m:t>
        </m:r>
      </m:oMath>
      <w:r w:rsidR="00DC4E28">
        <w:rPr>
          <w:rFonts w:ascii="Cambria Math" w:hAnsi="Cambria Math"/>
        </w:rPr>
        <w:t xml:space="preserve"> </w:t>
      </w:r>
      <w:r w:rsidR="00681DE4">
        <w:rPr>
          <w:rFonts w:ascii="Cambria Math" w:hAnsi="Cambria Math"/>
        </w:rPr>
        <w:t xml:space="preserve">, en assimilant les tissus humains à de l’eau de masse </w:t>
      </w:r>
      <w:r w:rsidR="00681DE4" w:rsidRPr="00681DE4">
        <w:rPr>
          <w:rFonts w:ascii="Cambria Math" w:hAnsi="Cambria Math"/>
        </w:rPr>
        <w:t xml:space="preserve">volumique </w:t>
      </w:r>
      <w:r w:rsidR="00681DE4" w:rsidRPr="00681DE4">
        <w:rPr>
          <w:rFonts w:ascii="Cambria Math" w:hAnsi="Cambria Math"/>
          <w:i/>
        </w:rPr>
        <w:sym w:font="Symbol" w:char="F072"/>
      </w:r>
      <w:r w:rsidR="00681DE4" w:rsidRPr="00681DE4">
        <w:rPr>
          <w:rFonts w:ascii="Cambria Math" w:hAnsi="Cambria Math"/>
        </w:rPr>
        <w:t xml:space="preserve"> = 1,0 g.cm</w:t>
      </w:r>
      <w:r w:rsidR="00681DE4" w:rsidRPr="00681DE4">
        <w:rPr>
          <w:rFonts w:ascii="Cambria Math" w:hAnsi="Cambria Math"/>
          <w:vertAlign w:val="superscript"/>
        </w:rPr>
        <w:t>-3</w:t>
      </w:r>
      <w:r w:rsidR="00681DE4" w:rsidRPr="00681DE4">
        <w:rPr>
          <w:rFonts w:ascii="Cambria Math" w:hAnsi="Cambria Math"/>
        </w:rPr>
        <w:t>.</w:t>
      </w:r>
    </w:p>
    <w:p w:rsidR="00E30FD0" w:rsidRPr="00AD466D" w:rsidRDefault="00E30FD0" w:rsidP="00E30FD0">
      <w:pPr>
        <w:spacing w:after="120"/>
        <w:ind w:left="284"/>
        <w:jc w:val="both"/>
        <w:rPr>
          <w:rFonts w:ascii="Cambria Math" w:hAnsi="Cambria Math"/>
        </w:rPr>
      </w:pPr>
      <w:r>
        <w:rPr>
          <w:rFonts w:ascii="Cambria Math" w:hAnsi="Cambria Math"/>
        </w:rPr>
        <w:t>La profondeur de pénétration des électrons produits par la désintégration de l’iode 131 est de l’ordre de 1 mm, ce qui respecte bien les préconisations pour que le traitement soit adapté.</w:t>
      </w:r>
    </w:p>
    <w:p w:rsidR="00E04663" w:rsidRDefault="00E30FD0" w:rsidP="00E04663">
      <w:pPr>
        <w:autoSpaceDE w:val="0"/>
        <w:autoSpaceDN w:val="0"/>
        <w:adjustRightInd w:val="0"/>
        <w:spacing w:after="120"/>
        <w:ind w:left="284" w:hanging="284"/>
        <w:rPr>
          <w:rFonts w:ascii="Cambria Math" w:hAnsi="Cambria Math"/>
        </w:rPr>
      </w:pPr>
      <w:r>
        <w:rPr>
          <w:rFonts w:ascii="Cambria Math" w:hAnsi="Cambria Math"/>
        </w:rPr>
        <w:tab/>
      </w:r>
    </w:p>
    <w:p w:rsidR="00E30FD0" w:rsidRPr="00AD466D" w:rsidRDefault="00E30FD0" w:rsidP="00E04663">
      <w:pPr>
        <w:autoSpaceDE w:val="0"/>
        <w:autoSpaceDN w:val="0"/>
        <w:adjustRightInd w:val="0"/>
        <w:spacing w:after="120"/>
        <w:ind w:left="284"/>
        <w:rPr>
          <w:rFonts w:ascii="Cambria Math" w:hAnsi="Cambria Math"/>
        </w:rPr>
      </w:pPr>
      <w:r>
        <w:rPr>
          <w:rFonts w:ascii="Cambria Math" w:hAnsi="Cambria Math"/>
        </w:rPr>
        <w:t xml:space="preserve">En conclusion, l’iode 131 convient effectivement pour détruire les cellules thyroïdiennes car il est fixé par la thyroïde et agit in situ. Les particules </w:t>
      </w:r>
      <w:r w:rsidRPr="00AD466D">
        <w:sym w:font="Symbol" w:char="F062"/>
      </w:r>
      <w:r>
        <w:rPr>
          <w:vertAlign w:val="superscript"/>
        </w:rPr>
        <w:sym w:font="Symbol" w:char="F02D"/>
      </w:r>
      <w:r>
        <w:rPr>
          <w:rFonts w:ascii="Cambria Math" w:hAnsi="Cambria Math"/>
        </w:rPr>
        <w:t xml:space="preserve"> émises ne pénétrant que sur 1 mm dans les tissus voisins, l’iode 131 ne détruit que les cellules thyroïdiennes.</w:t>
      </w:r>
    </w:p>
    <w:p w:rsidR="00E30FD0" w:rsidRPr="00AD466D" w:rsidRDefault="00E30FD0" w:rsidP="00E30FD0">
      <w:pPr>
        <w:autoSpaceDE w:val="0"/>
        <w:autoSpaceDN w:val="0"/>
        <w:adjustRightInd w:val="0"/>
        <w:spacing w:after="120"/>
        <w:ind w:left="284"/>
        <w:rPr>
          <w:rFonts w:ascii="Cambria Math" w:hAnsi="Cambria Math"/>
          <w:lang w:eastAsia="en-US"/>
        </w:rPr>
      </w:pPr>
      <w:r>
        <w:rPr>
          <w:rFonts w:ascii="Cambria Math" w:hAnsi="Cambria Math"/>
          <w:lang w:eastAsia="en-US"/>
        </w:rPr>
        <w:t>Cependant, l</w:t>
      </w:r>
      <w:r w:rsidRPr="00AD466D">
        <w:rPr>
          <w:rFonts w:ascii="Cambria Math" w:hAnsi="Cambria Math"/>
          <w:lang w:eastAsia="en-US"/>
        </w:rPr>
        <w:t xml:space="preserve">’inconvénient de cette </w:t>
      </w:r>
      <w:r>
        <w:rPr>
          <w:rFonts w:ascii="Cambria Math" w:hAnsi="Cambria Math"/>
          <w:lang w:eastAsia="en-US"/>
        </w:rPr>
        <w:t>thérapie</w:t>
      </w:r>
      <w:r w:rsidRPr="00AD466D">
        <w:rPr>
          <w:rFonts w:ascii="Cambria Math" w:hAnsi="Cambria Math"/>
          <w:lang w:eastAsia="en-US"/>
        </w:rPr>
        <w:t xml:space="preserve"> est qu’elle implique la production de </w:t>
      </w:r>
      <w:proofErr w:type="gramStart"/>
      <w:r w:rsidRPr="00AD466D">
        <w:rPr>
          <w:rFonts w:ascii="Cambria Math" w:hAnsi="Cambria Math"/>
          <w:lang w:eastAsia="en-US"/>
        </w:rPr>
        <w:t xml:space="preserve">rayons </w:t>
      </w:r>
      <w:r w:rsidRPr="00AD466D">
        <w:rPr>
          <w:rFonts w:ascii="Cambria Math" w:hAnsi="Cambria Math"/>
          <w:lang w:eastAsia="en-US"/>
        </w:rPr>
        <w:sym w:font="Symbol" w:char="F067"/>
      </w:r>
      <w:proofErr w:type="gramEnd"/>
      <w:r w:rsidRPr="00AD466D">
        <w:rPr>
          <w:rFonts w:ascii="Cambria Math" w:hAnsi="Cambria Math"/>
          <w:lang w:eastAsia="en-US"/>
        </w:rPr>
        <w:t xml:space="preserve"> </w:t>
      </w:r>
      <w:r>
        <w:rPr>
          <w:rFonts w:ascii="Cambria Math" w:hAnsi="Cambria Math"/>
          <w:lang w:eastAsia="en-US"/>
        </w:rPr>
        <w:t>, très dangereux ,</w:t>
      </w:r>
      <w:r w:rsidRPr="00AD466D">
        <w:rPr>
          <w:rFonts w:ascii="Cambria Math" w:hAnsi="Cambria Math"/>
          <w:lang w:eastAsia="en-US"/>
        </w:rPr>
        <w:t xml:space="preserve"> à l’intérieur du corps du patient.</w:t>
      </w:r>
    </w:p>
    <w:p w:rsidR="00E30FD0" w:rsidRDefault="00E30FD0" w:rsidP="00E30FD0">
      <w:pPr>
        <w:spacing w:after="120"/>
        <w:ind w:left="284" w:hanging="284"/>
      </w:pPr>
    </w:p>
    <w:p w:rsidR="00E30FD0" w:rsidRDefault="00E30FD0" w:rsidP="00E30FD0">
      <w:pPr>
        <w:spacing w:after="120"/>
        <w:ind w:left="284" w:hanging="284"/>
      </w:pPr>
    </w:p>
    <w:p w:rsidR="00E04663" w:rsidRPr="001F21E1" w:rsidRDefault="00E04663" w:rsidP="00E04663">
      <w:pPr>
        <w:pBdr>
          <w:bottom w:val="single" w:sz="4" w:space="1" w:color="auto"/>
        </w:pBdr>
        <w:jc w:val="center"/>
        <w:rPr>
          <w:b/>
          <w:sz w:val="28"/>
        </w:rPr>
      </w:pPr>
      <w:r w:rsidRPr="001F21E1">
        <w:rPr>
          <w:b/>
          <w:sz w:val="28"/>
        </w:rPr>
        <w:t>Exemples de coups de pouce :</w:t>
      </w:r>
    </w:p>
    <w:p w:rsidR="00E04663" w:rsidRDefault="00E04663" w:rsidP="00E04663"/>
    <w:p w:rsidR="009F0C9A" w:rsidRDefault="009F0C9A" w:rsidP="00E04663"/>
    <w:p w:rsidR="00E04663" w:rsidRDefault="00E04663" w:rsidP="00E04663">
      <w:pPr>
        <w:rPr>
          <w:i/>
        </w:rPr>
      </w:pPr>
      <w:r w:rsidRPr="005C2628">
        <w:rPr>
          <w:i/>
        </w:rPr>
        <w:t xml:space="preserve">Problème </w:t>
      </w:r>
    </w:p>
    <w:p w:rsidR="009F0C9A" w:rsidRDefault="009F0C9A" w:rsidP="00E04663">
      <w:pPr>
        <w:rPr>
          <w:i/>
        </w:rPr>
      </w:pPr>
    </w:p>
    <w:p w:rsidR="009F0C9A" w:rsidRPr="005C2628" w:rsidRDefault="009F0C9A" w:rsidP="00E04663">
      <w:pPr>
        <w:rPr>
          <w:i/>
        </w:rPr>
      </w:pPr>
    </w:p>
    <w:p w:rsidR="009F0C9A" w:rsidRDefault="009F0C9A" w:rsidP="009F0C9A">
      <w:pPr>
        <w:pStyle w:val="Paragraphedeliste"/>
        <w:numPr>
          <w:ilvl w:val="0"/>
          <w:numId w:val="6"/>
        </w:numPr>
        <w:spacing w:after="200" w:line="276" w:lineRule="auto"/>
      </w:pPr>
      <w:r>
        <w:t>Calculer la profondeur de pénétration des électrons dans les tissus cellulaires.</w:t>
      </w:r>
    </w:p>
    <w:p w:rsidR="009F0C9A" w:rsidRDefault="009F0C9A" w:rsidP="009F0C9A">
      <w:pPr>
        <w:spacing w:after="200" w:line="276" w:lineRule="auto"/>
      </w:pPr>
      <w:r>
        <w:t xml:space="preserve">       Ou </w:t>
      </w:r>
    </w:p>
    <w:p w:rsidR="00E04663" w:rsidRDefault="00E04663" w:rsidP="00E04663">
      <w:pPr>
        <w:pStyle w:val="Paragraphedeliste"/>
        <w:numPr>
          <w:ilvl w:val="0"/>
          <w:numId w:val="6"/>
        </w:numPr>
        <w:spacing w:after="200" w:line="276" w:lineRule="auto"/>
      </w:pPr>
      <w:r>
        <w:t>Calculer l’énergie de la réaction de désintégration de l’iode 131.</w:t>
      </w:r>
    </w:p>
    <w:p w:rsidR="00E04663" w:rsidRDefault="00E04663" w:rsidP="00E04663">
      <w:pPr>
        <w:pStyle w:val="Paragraphedeliste"/>
        <w:numPr>
          <w:ilvl w:val="0"/>
          <w:numId w:val="6"/>
        </w:numPr>
        <w:spacing w:after="200" w:line="276" w:lineRule="auto"/>
      </w:pPr>
      <w:r>
        <w:t xml:space="preserve">Calculer </w:t>
      </w:r>
      <w:r w:rsidR="009F0C9A">
        <w:t xml:space="preserve">ensuite </w:t>
      </w:r>
      <w:r>
        <w:t>la profondeur de pénétration des électrons dans les tissus cellulaires.</w:t>
      </w:r>
    </w:p>
    <w:p w:rsidR="00E04663" w:rsidRDefault="00E04663" w:rsidP="00E04663">
      <w:pPr>
        <w:spacing w:after="200" w:line="276" w:lineRule="auto"/>
        <w:ind w:firstLine="360"/>
      </w:pPr>
      <w:r>
        <w:t>Ou</w:t>
      </w:r>
    </w:p>
    <w:p w:rsidR="00E04663" w:rsidRDefault="00E04663" w:rsidP="00E04663">
      <w:pPr>
        <w:pStyle w:val="Paragraphedeliste"/>
        <w:numPr>
          <w:ilvl w:val="0"/>
          <w:numId w:val="6"/>
        </w:numPr>
        <w:spacing w:after="200" w:line="276" w:lineRule="auto"/>
      </w:pPr>
      <w:r>
        <w:t>Calculer l’énergie de la réaction de désintégration de l’iode 131.</w:t>
      </w:r>
    </w:p>
    <w:p w:rsidR="009F0C9A" w:rsidRDefault="00E04663" w:rsidP="00E04663">
      <w:pPr>
        <w:pStyle w:val="Paragraphedeliste"/>
        <w:numPr>
          <w:ilvl w:val="0"/>
          <w:numId w:val="6"/>
        </w:numPr>
        <w:spacing w:after="200" w:line="276" w:lineRule="auto"/>
      </w:pPr>
      <w:r>
        <w:t>Calculer l’énergie emportée par un électron</w:t>
      </w:r>
      <w:r w:rsidR="009F0C9A">
        <w:t>.</w:t>
      </w:r>
    </w:p>
    <w:p w:rsidR="00E04663" w:rsidRDefault="009F0C9A" w:rsidP="00E04663">
      <w:pPr>
        <w:pStyle w:val="Paragraphedeliste"/>
        <w:numPr>
          <w:ilvl w:val="0"/>
          <w:numId w:val="6"/>
        </w:numPr>
        <w:spacing w:after="200" w:line="276" w:lineRule="auto"/>
      </w:pPr>
      <w:r>
        <w:t xml:space="preserve">En déduire </w:t>
      </w:r>
      <w:r w:rsidR="00E04663">
        <w:t>la profondeur de pénétration des électrons dans les tissus cellulaires.</w:t>
      </w:r>
    </w:p>
    <w:p w:rsidR="00E30FD0" w:rsidRPr="00E30FD0" w:rsidRDefault="00E30FD0" w:rsidP="00F9733C">
      <w:pPr>
        <w:tabs>
          <w:tab w:val="left" w:pos="3828"/>
        </w:tabs>
        <w:ind w:right="-573"/>
        <w:rPr>
          <w:rFonts w:ascii="Comic Sans MS" w:hAnsi="Comic Sans MS"/>
          <w:spacing w:val="2"/>
          <w:sz w:val="18"/>
          <w:szCs w:val="18"/>
        </w:rPr>
      </w:pPr>
    </w:p>
    <w:sectPr w:rsidR="00E30FD0" w:rsidRPr="00E30FD0" w:rsidSect="00F9733C">
      <w:pgSz w:w="11906" w:h="16838"/>
      <w:pgMar w:top="709" w:right="99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539"/>
    <w:multiLevelType w:val="hybridMultilevel"/>
    <w:tmpl w:val="AA5C1EBC"/>
    <w:lvl w:ilvl="0" w:tplc="41E6A2E4">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1">
    <w:nsid w:val="30805B32"/>
    <w:multiLevelType w:val="hybridMultilevel"/>
    <w:tmpl w:val="C4881F88"/>
    <w:lvl w:ilvl="0" w:tplc="446682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7D23A5"/>
    <w:multiLevelType w:val="multilevel"/>
    <w:tmpl w:val="6EEA7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87A3AE3"/>
    <w:multiLevelType w:val="hybridMultilevel"/>
    <w:tmpl w:val="8FEAA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7C7DEF"/>
    <w:multiLevelType w:val="hybridMultilevel"/>
    <w:tmpl w:val="1B90B7FC"/>
    <w:lvl w:ilvl="0" w:tplc="3D50ACB0">
      <w:start w:val="28"/>
      <w:numFmt w:val="bullet"/>
      <w:lvlText w:val="-"/>
      <w:lvlJc w:val="left"/>
      <w:pPr>
        <w:ind w:left="720" w:hanging="360"/>
      </w:pPr>
      <w:rPr>
        <w:rFonts w:ascii="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C65DAF"/>
    <w:multiLevelType w:val="multilevel"/>
    <w:tmpl w:val="B39A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535F56"/>
    <w:multiLevelType w:val="hybridMultilevel"/>
    <w:tmpl w:val="3F24A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433A80"/>
    <w:multiLevelType w:val="hybridMultilevel"/>
    <w:tmpl w:val="10C6EB4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7F54"/>
    <w:rsid w:val="00001CDD"/>
    <w:rsid w:val="0000297A"/>
    <w:rsid w:val="000034D2"/>
    <w:rsid w:val="00003A34"/>
    <w:rsid w:val="000056F5"/>
    <w:rsid w:val="00011508"/>
    <w:rsid w:val="00013FA9"/>
    <w:rsid w:val="000148CD"/>
    <w:rsid w:val="000165F8"/>
    <w:rsid w:val="0002169E"/>
    <w:rsid w:val="00022D7F"/>
    <w:rsid w:val="0002390B"/>
    <w:rsid w:val="00027F05"/>
    <w:rsid w:val="000300EA"/>
    <w:rsid w:val="00030230"/>
    <w:rsid w:val="000302F5"/>
    <w:rsid w:val="000351F5"/>
    <w:rsid w:val="00035FFC"/>
    <w:rsid w:val="00046B27"/>
    <w:rsid w:val="00046B44"/>
    <w:rsid w:val="0005026A"/>
    <w:rsid w:val="000510BE"/>
    <w:rsid w:val="00052E39"/>
    <w:rsid w:val="00054F78"/>
    <w:rsid w:val="0005638C"/>
    <w:rsid w:val="00061821"/>
    <w:rsid w:val="00063907"/>
    <w:rsid w:val="0006396C"/>
    <w:rsid w:val="00063DDD"/>
    <w:rsid w:val="00066161"/>
    <w:rsid w:val="0006633B"/>
    <w:rsid w:val="00066FDA"/>
    <w:rsid w:val="00071053"/>
    <w:rsid w:val="00073BF1"/>
    <w:rsid w:val="00074A0D"/>
    <w:rsid w:val="00077B81"/>
    <w:rsid w:val="00080A02"/>
    <w:rsid w:val="00082271"/>
    <w:rsid w:val="00085EC5"/>
    <w:rsid w:val="00086CBC"/>
    <w:rsid w:val="0009037A"/>
    <w:rsid w:val="00090B7F"/>
    <w:rsid w:val="00091F62"/>
    <w:rsid w:val="00095BF2"/>
    <w:rsid w:val="00096C92"/>
    <w:rsid w:val="0009705D"/>
    <w:rsid w:val="000A61A3"/>
    <w:rsid w:val="000A69D8"/>
    <w:rsid w:val="000A7DEF"/>
    <w:rsid w:val="000B0792"/>
    <w:rsid w:val="000B0B76"/>
    <w:rsid w:val="000B0D18"/>
    <w:rsid w:val="000B542F"/>
    <w:rsid w:val="000C3BB4"/>
    <w:rsid w:val="000C4402"/>
    <w:rsid w:val="000C766E"/>
    <w:rsid w:val="000D0FB7"/>
    <w:rsid w:val="000D2972"/>
    <w:rsid w:val="000D5E34"/>
    <w:rsid w:val="000E18C1"/>
    <w:rsid w:val="000E3494"/>
    <w:rsid w:val="000E4B80"/>
    <w:rsid w:val="000E4C7F"/>
    <w:rsid w:val="000F287F"/>
    <w:rsid w:val="000F2ADD"/>
    <w:rsid w:val="000F4286"/>
    <w:rsid w:val="0010008C"/>
    <w:rsid w:val="00100C33"/>
    <w:rsid w:val="00100F63"/>
    <w:rsid w:val="00101776"/>
    <w:rsid w:val="001036BB"/>
    <w:rsid w:val="00104CF3"/>
    <w:rsid w:val="001067B4"/>
    <w:rsid w:val="00106A83"/>
    <w:rsid w:val="00115406"/>
    <w:rsid w:val="00115987"/>
    <w:rsid w:val="0011671E"/>
    <w:rsid w:val="00122455"/>
    <w:rsid w:val="00122481"/>
    <w:rsid w:val="00122F55"/>
    <w:rsid w:val="00126A7F"/>
    <w:rsid w:val="00127BA6"/>
    <w:rsid w:val="00127E8E"/>
    <w:rsid w:val="00131FD9"/>
    <w:rsid w:val="00132E54"/>
    <w:rsid w:val="001345CE"/>
    <w:rsid w:val="00134C38"/>
    <w:rsid w:val="00135707"/>
    <w:rsid w:val="00137A8E"/>
    <w:rsid w:val="00137D2E"/>
    <w:rsid w:val="001408DC"/>
    <w:rsid w:val="00145638"/>
    <w:rsid w:val="00150B61"/>
    <w:rsid w:val="00160735"/>
    <w:rsid w:val="00162562"/>
    <w:rsid w:val="00163B18"/>
    <w:rsid w:val="00164A5C"/>
    <w:rsid w:val="001703C5"/>
    <w:rsid w:val="00170818"/>
    <w:rsid w:val="00171DFB"/>
    <w:rsid w:val="001737D6"/>
    <w:rsid w:val="0017407E"/>
    <w:rsid w:val="0017556E"/>
    <w:rsid w:val="00177853"/>
    <w:rsid w:val="0018321A"/>
    <w:rsid w:val="001834A1"/>
    <w:rsid w:val="001844A4"/>
    <w:rsid w:val="00186F60"/>
    <w:rsid w:val="001912FA"/>
    <w:rsid w:val="0019447F"/>
    <w:rsid w:val="00194561"/>
    <w:rsid w:val="00195012"/>
    <w:rsid w:val="001966EC"/>
    <w:rsid w:val="001967FF"/>
    <w:rsid w:val="001A2CA9"/>
    <w:rsid w:val="001A68C9"/>
    <w:rsid w:val="001A7B3A"/>
    <w:rsid w:val="001B0761"/>
    <w:rsid w:val="001B0FC3"/>
    <w:rsid w:val="001B1BD7"/>
    <w:rsid w:val="001B1C39"/>
    <w:rsid w:val="001B2273"/>
    <w:rsid w:val="001B268F"/>
    <w:rsid w:val="001B33F3"/>
    <w:rsid w:val="001B4A1B"/>
    <w:rsid w:val="001B4F27"/>
    <w:rsid w:val="001B5A8F"/>
    <w:rsid w:val="001B5B84"/>
    <w:rsid w:val="001B6B53"/>
    <w:rsid w:val="001C1260"/>
    <w:rsid w:val="001C1C34"/>
    <w:rsid w:val="001C1CC8"/>
    <w:rsid w:val="001C2F77"/>
    <w:rsid w:val="001C3FEA"/>
    <w:rsid w:val="001C51F6"/>
    <w:rsid w:val="001C52B5"/>
    <w:rsid w:val="001C5359"/>
    <w:rsid w:val="001C57DC"/>
    <w:rsid w:val="001C7366"/>
    <w:rsid w:val="001D0892"/>
    <w:rsid w:val="001D2CF1"/>
    <w:rsid w:val="001D4C1D"/>
    <w:rsid w:val="001E126D"/>
    <w:rsid w:val="001E1B7A"/>
    <w:rsid w:val="001E2ACF"/>
    <w:rsid w:val="001E4922"/>
    <w:rsid w:val="001E6C3F"/>
    <w:rsid w:val="001F21E1"/>
    <w:rsid w:val="001F30ED"/>
    <w:rsid w:val="001F3A56"/>
    <w:rsid w:val="001F673F"/>
    <w:rsid w:val="001F7AFA"/>
    <w:rsid w:val="00200465"/>
    <w:rsid w:val="0020262D"/>
    <w:rsid w:val="002055CA"/>
    <w:rsid w:val="002067FE"/>
    <w:rsid w:val="00207C17"/>
    <w:rsid w:val="002107AE"/>
    <w:rsid w:val="002107E6"/>
    <w:rsid w:val="002145F0"/>
    <w:rsid w:val="0021514E"/>
    <w:rsid w:val="00217DEE"/>
    <w:rsid w:val="0022173F"/>
    <w:rsid w:val="00221A42"/>
    <w:rsid w:val="00222FF9"/>
    <w:rsid w:val="00223FE8"/>
    <w:rsid w:val="002313D1"/>
    <w:rsid w:val="0023148A"/>
    <w:rsid w:val="0023387F"/>
    <w:rsid w:val="00236588"/>
    <w:rsid w:val="00240479"/>
    <w:rsid w:val="00242AB0"/>
    <w:rsid w:val="00244825"/>
    <w:rsid w:val="00245FE7"/>
    <w:rsid w:val="002476F6"/>
    <w:rsid w:val="00254AA7"/>
    <w:rsid w:val="00255446"/>
    <w:rsid w:val="00260B6D"/>
    <w:rsid w:val="00261B34"/>
    <w:rsid w:val="0026543B"/>
    <w:rsid w:val="002668DB"/>
    <w:rsid w:val="00267023"/>
    <w:rsid w:val="00267028"/>
    <w:rsid w:val="0027166C"/>
    <w:rsid w:val="00271AD1"/>
    <w:rsid w:val="002760FD"/>
    <w:rsid w:val="00280EBF"/>
    <w:rsid w:val="00282CFF"/>
    <w:rsid w:val="002910AD"/>
    <w:rsid w:val="002937AE"/>
    <w:rsid w:val="002A1276"/>
    <w:rsid w:val="002A2A84"/>
    <w:rsid w:val="002B11E0"/>
    <w:rsid w:val="002B247A"/>
    <w:rsid w:val="002B26AE"/>
    <w:rsid w:val="002B405F"/>
    <w:rsid w:val="002B4DEA"/>
    <w:rsid w:val="002B56E8"/>
    <w:rsid w:val="002C32AD"/>
    <w:rsid w:val="002C407E"/>
    <w:rsid w:val="002D27EF"/>
    <w:rsid w:val="002D2AA6"/>
    <w:rsid w:val="002D4C11"/>
    <w:rsid w:val="002E1F68"/>
    <w:rsid w:val="002E6A9E"/>
    <w:rsid w:val="002F4DDB"/>
    <w:rsid w:val="002F5054"/>
    <w:rsid w:val="00301AB5"/>
    <w:rsid w:val="00306E5F"/>
    <w:rsid w:val="0031313D"/>
    <w:rsid w:val="00317723"/>
    <w:rsid w:val="00323BAD"/>
    <w:rsid w:val="003243DC"/>
    <w:rsid w:val="00324445"/>
    <w:rsid w:val="0032518B"/>
    <w:rsid w:val="00325925"/>
    <w:rsid w:val="0033005C"/>
    <w:rsid w:val="00330919"/>
    <w:rsid w:val="003315D4"/>
    <w:rsid w:val="00331FF2"/>
    <w:rsid w:val="0033319C"/>
    <w:rsid w:val="003331D9"/>
    <w:rsid w:val="00333A0B"/>
    <w:rsid w:val="00334767"/>
    <w:rsid w:val="00335479"/>
    <w:rsid w:val="00337118"/>
    <w:rsid w:val="003414B5"/>
    <w:rsid w:val="003421D2"/>
    <w:rsid w:val="00343419"/>
    <w:rsid w:val="00343468"/>
    <w:rsid w:val="00351FBE"/>
    <w:rsid w:val="0035423E"/>
    <w:rsid w:val="0036217F"/>
    <w:rsid w:val="00362472"/>
    <w:rsid w:val="00363982"/>
    <w:rsid w:val="003646C4"/>
    <w:rsid w:val="0036693A"/>
    <w:rsid w:val="0038088B"/>
    <w:rsid w:val="00385018"/>
    <w:rsid w:val="00385223"/>
    <w:rsid w:val="00385C78"/>
    <w:rsid w:val="003865E2"/>
    <w:rsid w:val="00386F8B"/>
    <w:rsid w:val="003874B2"/>
    <w:rsid w:val="00395EB2"/>
    <w:rsid w:val="0039769F"/>
    <w:rsid w:val="003A0226"/>
    <w:rsid w:val="003A3AA4"/>
    <w:rsid w:val="003A61FF"/>
    <w:rsid w:val="003A6E78"/>
    <w:rsid w:val="003B0D60"/>
    <w:rsid w:val="003C00AB"/>
    <w:rsid w:val="003C0663"/>
    <w:rsid w:val="003C3446"/>
    <w:rsid w:val="003C40DA"/>
    <w:rsid w:val="003C592A"/>
    <w:rsid w:val="003C5F73"/>
    <w:rsid w:val="003D216C"/>
    <w:rsid w:val="003D2E25"/>
    <w:rsid w:val="003D3F5B"/>
    <w:rsid w:val="003D74BB"/>
    <w:rsid w:val="003E1375"/>
    <w:rsid w:val="003E2A7F"/>
    <w:rsid w:val="003E33F1"/>
    <w:rsid w:val="003E3702"/>
    <w:rsid w:val="003E38BE"/>
    <w:rsid w:val="003F04C7"/>
    <w:rsid w:val="003F0720"/>
    <w:rsid w:val="003F108C"/>
    <w:rsid w:val="003F54C6"/>
    <w:rsid w:val="003F6114"/>
    <w:rsid w:val="004023B9"/>
    <w:rsid w:val="00403616"/>
    <w:rsid w:val="00406766"/>
    <w:rsid w:val="00410EE3"/>
    <w:rsid w:val="004115BA"/>
    <w:rsid w:val="00411A1C"/>
    <w:rsid w:val="004134C2"/>
    <w:rsid w:val="00414693"/>
    <w:rsid w:val="00414B03"/>
    <w:rsid w:val="00421648"/>
    <w:rsid w:val="00422326"/>
    <w:rsid w:val="00425F2E"/>
    <w:rsid w:val="004347EC"/>
    <w:rsid w:val="00436A48"/>
    <w:rsid w:val="0044009A"/>
    <w:rsid w:val="00445317"/>
    <w:rsid w:val="0044586F"/>
    <w:rsid w:val="0044620E"/>
    <w:rsid w:val="00450038"/>
    <w:rsid w:val="0045186A"/>
    <w:rsid w:val="0045190A"/>
    <w:rsid w:val="00452F27"/>
    <w:rsid w:val="004551C0"/>
    <w:rsid w:val="00455D52"/>
    <w:rsid w:val="00457B7E"/>
    <w:rsid w:val="0046088B"/>
    <w:rsid w:val="00460F69"/>
    <w:rsid w:val="00464EA7"/>
    <w:rsid w:val="00465DBB"/>
    <w:rsid w:val="004666C7"/>
    <w:rsid w:val="00472273"/>
    <w:rsid w:val="004767E6"/>
    <w:rsid w:val="00477127"/>
    <w:rsid w:val="0047752F"/>
    <w:rsid w:val="00480D04"/>
    <w:rsid w:val="00481E81"/>
    <w:rsid w:val="00486466"/>
    <w:rsid w:val="0049099D"/>
    <w:rsid w:val="00491BAD"/>
    <w:rsid w:val="004946B1"/>
    <w:rsid w:val="00497827"/>
    <w:rsid w:val="004A7B88"/>
    <w:rsid w:val="004B18FD"/>
    <w:rsid w:val="004B2464"/>
    <w:rsid w:val="004B2832"/>
    <w:rsid w:val="004B2A4D"/>
    <w:rsid w:val="004B5538"/>
    <w:rsid w:val="004B6064"/>
    <w:rsid w:val="004B6AAA"/>
    <w:rsid w:val="004B6E18"/>
    <w:rsid w:val="004C1777"/>
    <w:rsid w:val="004C42CA"/>
    <w:rsid w:val="004C504F"/>
    <w:rsid w:val="004C5909"/>
    <w:rsid w:val="004C600D"/>
    <w:rsid w:val="004C6913"/>
    <w:rsid w:val="004C7549"/>
    <w:rsid w:val="004D01AB"/>
    <w:rsid w:val="004D0610"/>
    <w:rsid w:val="004D6066"/>
    <w:rsid w:val="004E02A0"/>
    <w:rsid w:val="004E0C13"/>
    <w:rsid w:val="004E32F9"/>
    <w:rsid w:val="004E6805"/>
    <w:rsid w:val="004E7D2B"/>
    <w:rsid w:val="004F1B79"/>
    <w:rsid w:val="004F227B"/>
    <w:rsid w:val="004F276B"/>
    <w:rsid w:val="004F2A9C"/>
    <w:rsid w:val="004F31B8"/>
    <w:rsid w:val="004F4650"/>
    <w:rsid w:val="004F597B"/>
    <w:rsid w:val="004F5A70"/>
    <w:rsid w:val="00503920"/>
    <w:rsid w:val="005043E2"/>
    <w:rsid w:val="00504642"/>
    <w:rsid w:val="00504842"/>
    <w:rsid w:val="00506DBE"/>
    <w:rsid w:val="00510668"/>
    <w:rsid w:val="00510CE5"/>
    <w:rsid w:val="00510CFA"/>
    <w:rsid w:val="0051291F"/>
    <w:rsid w:val="005164CB"/>
    <w:rsid w:val="00517869"/>
    <w:rsid w:val="005267B1"/>
    <w:rsid w:val="00530701"/>
    <w:rsid w:val="00530F51"/>
    <w:rsid w:val="0053149B"/>
    <w:rsid w:val="005314CD"/>
    <w:rsid w:val="005341A1"/>
    <w:rsid w:val="005361E1"/>
    <w:rsid w:val="00552C96"/>
    <w:rsid w:val="00552CB1"/>
    <w:rsid w:val="0055620E"/>
    <w:rsid w:val="00557A8B"/>
    <w:rsid w:val="00560C49"/>
    <w:rsid w:val="005613B4"/>
    <w:rsid w:val="00563218"/>
    <w:rsid w:val="00565407"/>
    <w:rsid w:val="00565646"/>
    <w:rsid w:val="0056602A"/>
    <w:rsid w:val="005703F2"/>
    <w:rsid w:val="0057294C"/>
    <w:rsid w:val="00572A14"/>
    <w:rsid w:val="00576372"/>
    <w:rsid w:val="00580394"/>
    <w:rsid w:val="00580CB9"/>
    <w:rsid w:val="0058227F"/>
    <w:rsid w:val="005833E1"/>
    <w:rsid w:val="00584714"/>
    <w:rsid w:val="00586079"/>
    <w:rsid w:val="00591D1E"/>
    <w:rsid w:val="00594CBD"/>
    <w:rsid w:val="00595BC5"/>
    <w:rsid w:val="00595EF0"/>
    <w:rsid w:val="005963B5"/>
    <w:rsid w:val="005A5FF0"/>
    <w:rsid w:val="005B40DE"/>
    <w:rsid w:val="005B45A2"/>
    <w:rsid w:val="005B47BC"/>
    <w:rsid w:val="005B523A"/>
    <w:rsid w:val="005B5FC2"/>
    <w:rsid w:val="005C0600"/>
    <w:rsid w:val="005C30BB"/>
    <w:rsid w:val="005C3E2C"/>
    <w:rsid w:val="005C519D"/>
    <w:rsid w:val="005C7072"/>
    <w:rsid w:val="005D2252"/>
    <w:rsid w:val="005D3E08"/>
    <w:rsid w:val="005D47B8"/>
    <w:rsid w:val="005D63FD"/>
    <w:rsid w:val="005D6D0F"/>
    <w:rsid w:val="005E07F2"/>
    <w:rsid w:val="005E6AF4"/>
    <w:rsid w:val="005E7A3A"/>
    <w:rsid w:val="005F06DF"/>
    <w:rsid w:val="005F0E65"/>
    <w:rsid w:val="005F162F"/>
    <w:rsid w:val="005F2B1F"/>
    <w:rsid w:val="005F4D7B"/>
    <w:rsid w:val="006005B4"/>
    <w:rsid w:val="00602439"/>
    <w:rsid w:val="00604598"/>
    <w:rsid w:val="00611436"/>
    <w:rsid w:val="006118B0"/>
    <w:rsid w:val="0061404A"/>
    <w:rsid w:val="00615330"/>
    <w:rsid w:val="00615713"/>
    <w:rsid w:val="006236E9"/>
    <w:rsid w:val="006263A4"/>
    <w:rsid w:val="00633110"/>
    <w:rsid w:val="00635003"/>
    <w:rsid w:val="00635326"/>
    <w:rsid w:val="0063604A"/>
    <w:rsid w:val="00636EA4"/>
    <w:rsid w:val="00642002"/>
    <w:rsid w:val="00644CCF"/>
    <w:rsid w:val="00646E7C"/>
    <w:rsid w:val="00647070"/>
    <w:rsid w:val="006507DE"/>
    <w:rsid w:val="00651DB3"/>
    <w:rsid w:val="006525A2"/>
    <w:rsid w:val="0065297E"/>
    <w:rsid w:val="0065341E"/>
    <w:rsid w:val="006535C9"/>
    <w:rsid w:val="006567F1"/>
    <w:rsid w:val="00657DDD"/>
    <w:rsid w:val="006607DD"/>
    <w:rsid w:val="006629DA"/>
    <w:rsid w:val="00665B31"/>
    <w:rsid w:val="00666A94"/>
    <w:rsid w:val="006718EA"/>
    <w:rsid w:val="00671AE0"/>
    <w:rsid w:val="00673024"/>
    <w:rsid w:val="00673494"/>
    <w:rsid w:val="00673788"/>
    <w:rsid w:val="006748FE"/>
    <w:rsid w:val="00677B1F"/>
    <w:rsid w:val="00680C51"/>
    <w:rsid w:val="00681DE4"/>
    <w:rsid w:val="00682707"/>
    <w:rsid w:val="00684281"/>
    <w:rsid w:val="00684AD8"/>
    <w:rsid w:val="00686770"/>
    <w:rsid w:val="00686F16"/>
    <w:rsid w:val="00690B3C"/>
    <w:rsid w:val="00695425"/>
    <w:rsid w:val="006956C3"/>
    <w:rsid w:val="006A7BF5"/>
    <w:rsid w:val="006B08F8"/>
    <w:rsid w:val="006B0A25"/>
    <w:rsid w:val="006B20E9"/>
    <w:rsid w:val="006B2498"/>
    <w:rsid w:val="006B24CD"/>
    <w:rsid w:val="006B32D8"/>
    <w:rsid w:val="006B390D"/>
    <w:rsid w:val="006B421A"/>
    <w:rsid w:val="006C15E4"/>
    <w:rsid w:val="006C2126"/>
    <w:rsid w:val="006C4314"/>
    <w:rsid w:val="006C48BA"/>
    <w:rsid w:val="006C49E3"/>
    <w:rsid w:val="006C5039"/>
    <w:rsid w:val="006C5CC0"/>
    <w:rsid w:val="006C6361"/>
    <w:rsid w:val="006D018E"/>
    <w:rsid w:val="006D15DB"/>
    <w:rsid w:val="006D1AD5"/>
    <w:rsid w:val="006D2CC1"/>
    <w:rsid w:val="006D2D1B"/>
    <w:rsid w:val="006D455E"/>
    <w:rsid w:val="006D7231"/>
    <w:rsid w:val="006E02E8"/>
    <w:rsid w:val="006E0A93"/>
    <w:rsid w:val="006E23DE"/>
    <w:rsid w:val="006E5EA4"/>
    <w:rsid w:val="006F070E"/>
    <w:rsid w:val="006F17E5"/>
    <w:rsid w:val="006F1E30"/>
    <w:rsid w:val="006F2446"/>
    <w:rsid w:val="006F5D00"/>
    <w:rsid w:val="006F74F0"/>
    <w:rsid w:val="0070000E"/>
    <w:rsid w:val="00703869"/>
    <w:rsid w:val="0070453C"/>
    <w:rsid w:val="00704870"/>
    <w:rsid w:val="007075EF"/>
    <w:rsid w:val="00707FBD"/>
    <w:rsid w:val="0071082D"/>
    <w:rsid w:val="00710F7E"/>
    <w:rsid w:val="00711442"/>
    <w:rsid w:val="007121D0"/>
    <w:rsid w:val="0071232B"/>
    <w:rsid w:val="0071322A"/>
    <w:rsid w:val="0071599F"/>
    <w:rsid w:val="007161A5"/>
    <w:rsid w:val="0071624D"/>
    <w:rsid w:val="00716D12"/>
    <w:rsid w:val="00717AFD"/>
    <w:rsid w:val="00720C4C"/>
    <w:rsid w:val="00720EA1"/>
    <w:rsid w:val="0072147C"/>
    <w:rsid w:val="0072241E"/>
    <w:rsid w:val="00722686"/>
    <w:rsid w:val="00723659"/>
    <w:rsid w:val="007249D1"/>
    <w:rsid w:val="00726BC3"/>
    <w:rsid w:val="007302A3"/>
    <w:rsid w:val="007321E1"/>
    <w:rsid w:val="0073434E"/>
    <w:rsid w:val="0073506A"/>
    <w:rsid w:val="00736075"/>
    <w:rsid w:val="00736C00"/>
    <w:rsid w:val="00744EB1"/>
    <w:rsid w:val="00745490"/>
    <w:rsid w:val="00745F1F"/>
    <w:rsid w:val="0074782D"/>
    <w:rsid w:val="0075085A"/>
    <w:rsid w:val="007529CC"/>
    <w:rsid w:val="007535EE"/>
    <w:rsid w:val="007608B9"/>
    <w:rsid w:val="00760B7D"/>
    <w:rsid w:val="00761884"/>
    <w:rsid w:val="00761EEB"/>
    <w:rsid w:val="007707AB"/>
    <w:rsid w:val="00771BF5"/>
    <w:rsid w:val="00772FA8"/>
    <w:rsid w:val="00773754"/>
    <w:rsid w:val="007737B7"/>
    <w:rsid w:val="00777A53"/>
    <w:rsid w:val="00783281"/>
    <w:rsid w:val="00784162"/>
    <w:rsid w:val="00785E9B"/>
    <w:rsid w:val="007872F7"/>
    <w:rsid w:val="007877BD"/>
    <w:rsid w:val="007918CF"/>
    <w:rsid w:val="00792263"/>
    <w:rsid w:val="007934E8"/>
    <w:rsid w:val="00793588"/>
    <w:rsid w:val="00795829"/>
    <w:rsid w:val="00796DB7"/>
    <w:rsid w:val="007971D5"/>
    <w:rsid w:val="007A0036"/>
    <w:rsid w:val="007A1BF5"/>
    <w:rsid w:val="007A5F10"/>
    <w:rsid w:val="007A5F62"/>
    <w:rsid w:val="007A7297"/>
    <w:rsid w:val="007B126F"/>
    <w:rsid w:val="007B2E4E"/>
    <w:rsid w:val="007B3562"/>
    <w:rsid w:val="007B3A9F"/>
    <w:rsid w:val="007B69CF"/>
    <w:rsid w:val="007B6CF7"/>
    <w:rsid w:val="007B735C"/>
    <w:rsid w:val="007C034B"/>
    <w:rsid w:val="007C0648"/>
    <w:rsid w:val="007D03CA"/>
    <w:rsid w:val="007D3C07"/>
    <w:rsid w:val="007D3C45"/>
    <w:rsid w:val="007D5960"/>
    <w:rsid w:val="007D648B"/>
    <w:rsid w:val="007D68FB"/>
    <w:rsid w:val="007E2020"/>
    <w:rsid w:val="007E6829"/>
    <w:rsid w:val="007E699C"/>
    <w:rsid w:val="007E7410"/>
    <w:rsid w:val="007F1BC6"/>
    <w:rsid w:val="007F2C92"/>
    <w:rsid w:val="007F7564"/>
    <w:rsid w:val="007F7FE8"/>
    <w:rsid w:val="00802C5E"/>
    <w:rsid w:val="00804C46"/>
    <w:rsid w:val="008065C8"/>
    <w:rsid w:val="00807DFC"/>
    <w:rsid w:val="0081516A"/>
    <w:rsid w:val="008159E0"/>
    <w:rsid w:val="0081636E"/>
    <w:rsid w:val="008164F4"/>
    <w:rsid w:val="008178DA"/>
    <w:rsid w:val="00824A4D"/>
    <w:rsid w:val="00824D25"/>
    <w:rsid w:val="008250B4"/>
    <w:rsid w:val="00827F92"/>
    <w:rsid w:val="00830C03"/>
    <w:rsid w:val="00831214"/>
    <w:rsid w:val="0083160F"/>
    <w:rsid w:val="00831E8B"/>
    <w:rsid w:val="008337EA"/>
    <w:rsid w:val="00835868"/>
    <w:rsid w:val="00840404"/>
    <w:rsid w:val="00844FD1"/>
    <w:rsid w:val="00847A47"/>
    <w:rsid w:val="00847CBA"/>
    <w:rsid w:val="008574F1"/>
    <w:rsid w:val="00861A05"/>
    <w:rsid w:val="008642DD"/>
    <w:rsid w:val="00864563"/>
    <w:rsid w:val="008656AA"/>
    <w:rsid w:val="00865810"/>
    <w:rsid w:val="00866CA4"/>
    <w:rsid w:val="00871F87"/>
    <w:rsid w:val="00874557"/>
    <w:rsid w:val="008753CA"/>
    <w:rsid w:val="00875B92"/>
    <w:rsid w:val="00880CD9"/>
    <w:rsid w:val="00884734"/>
    <w:rsid w:val="00885883"/>
    <w:rsid w:val="008904AF"/>
    <w:rsid w:val="00890642"/>
    <w:rsid w:val="008917B3"/>
    <w:rsid w:val="00894B32"/>
    <w:rsid w:val="00895532"/>
    <w:rsid w:val="008966E1"/>
    <w:rsid w:val="00897906"/>
    <w:rsid w:val="008A0A98"/>
    <w:rsid w:val="008A1BE3"/>
    <w:rsid w:val="008A2FD8"/>
    <w:rsid w:val="008A3B70"/>
    <w:rsid w:val="008A7370"/>
    <w:rsid w:val="008B113A"/>
    <w:rsid w:val="008B189F"/>
    <w:rsid w:val="008B5D9F"/>
    <w:rsid w:val="008C0E81"/>
    <w:rsid w:val="008C3990"/>
    <w:rsid w:val="008C4ADF"/>
    <w:rsid w:val="008C4BA4"/>
    <w:rsid w:val="008C5CD7"/>
    <w:rsid w:val="008C7C95"/>
    <w:rsid w:val="008D03C5"/>
    <w:rsid w:val="008D1ACA"/>
    <w:rsid w:val="008D6FDD"/>
    <w:rsid w:val="008F02AA"/>
    <w:rsid w:val="008F0A14"/>
    <w:rsid w:val="008F115E"/>
    <w:rsid w:val="008F1696"/>
    <w:rsid w:val="008F2F91"/>
    <w:rsid w:val="008F4BCA"/>
    <w:rsid w:val="00901313"/>
    <w:rsid w:val="00901E63"/>
    <w:rsid w:val="00903AB8"/>
    <w:rsid w:val="00904E3D"/>
    <w:rsid w:val="00905E6F"/>
    <w:rsid w:val="009070CE"/>
    <w:rsid w:val="00907E53"/>
    <w:rsid w:val="009106BA"/>
    <w:rsid w:val="00910A2A"/>
    <w:rsid w:val="00911CEF"/>
    <w:rsid w:val="00913421"/>
    <w:rsid w:val="009178C6"/>
    <w:rsid w:val="00921F5A"/>
    <w:rsid w:val="00921FF2"/>
    <w:rsid w:val="00922EF6"/>
    <w:rsid w:val="00923110"/>
    <w:rsid w:val="009240C9"/>
    <w:rsid w:val="00924995"/>
    <w:rsid w:val="00925318"/>
    <w:rsid w:val="00925334"/>
    <w:rsid w:val="0092611B"/>
    <w:rsid w:val="00926908"/>
    <w:rsid w:val="00927816"/>
    <w:rsid w:val="00932FDF"/>
    <w:rsid w:val="00933E6B"/>
    <w:rsid w:val="00936C9C"/>
    <w:rsid w:val="009376AE"/>
    <w:rsid w:val="009403A3"/>
    <w:rsid w:val="0094272E"/>
    <w:rsid w:val="00946FC5"/>
    <w:rsid w:val="009502F2"/>
    <w:rsid w:val="009507EC"/>
    <w:rsid w:val="009514E5"/>
    <w:rsid w:val="00951F9E"/>
    <w:rsid w:val="00952DD7"/>
    <w:rsid w:val="0095634D"/>
    <w:rsid w:val="009632A4"/>
    <w:rsid w:val="00975A44"/>
    <w:rsid w:val="00980212"/>
    <w:rsid w:val="009806C7"/>
    <w:rsid w:val="009811D2"/>
    <w:rsid w:val="00984215"/>
    <w:rsid w:val="00984E3E"/>
    <w:rsid w:val="009916A0"/>
    <w:rsid w:val="00993D4A"/>
    <w:rsid w:val="009964AC"/>
    <w:rsid w:val="00996734"/>
    <w:rsid w:val="0099781F"/>
    <w:rsid w:val="0099793F"/>
    <w:rsid w:val="009A0BAC"/>
    <w:rsid w:val="009A2A9D"/>
    <w:rsid w:val="009A2DE7"/>
    <w:rsid w:val="009A6F6F"/>
    <w:rsid w:val="009A7334"/>
    <w:rsid w:val="009A75D4"/>
    <w:rsid w:val="009B574D"/>
    <w:rsid w:val="009B6EA0"/>
    <w:rsid w:val="009B7BEE"/>
    <w:rsid w:val="009C139C"/>
    <w:rsid w:val="009C19E9"/>
    <w:rsid w:val="009C1AE5"/>
    <w:rsid w:val="009C32BB"/>
    <w:rsid w:val="009C778C"/>
    <w:rsid w:val="009D0574"/>
    <w:rsid w:val="009D3DC4"/>
    <w:rsid w:val="009D4436"/>
    <w:rsid w:val="009D5039"/>
    <w:rsid w:val="009D798D"/>
    <w:rsid w:val="009D7E00"/>
    <w:rsid w:val="009E380F"/>
    <w:rsid w:val="009E4C00"/>
    <w:rsid w:val="009E6988"/>
    <w:rsid w:val="009E788B"/>
    <w:rsid w:val="009E7F54"/>
    <w:rsid w:val="009F038D"/>
    <w:rsid w:val="009F0C9A"/>
    <w:rsid w:val="009F24B3"/>
    <w:rsid w:val="009F33DA"/>
    <w:rsid w:val="009F69C0"/>
    <w:rsid w:val="00A01B0E"/>
    <w:rsid w:val="00A03122"/>
    <w:rsid w:val="00A03508"/>
    <w:rsid w:val="00A06D60"/>
    <w:rsid w:val="00A133FD"/>
    <w:rsid w:val="00A13DF6"/>
    <w:rsid w:val="00A23E78"/>
    <w:rsid w:val="00A32519"/>
    <w:rsid w:val="00A33121"/>
    <w:rsid w:val="00A33518"/>
    <w:rsid w:val="00A35435"/>
    <w:rsid w:val="00A404C4"/>
    <w:rsid w:val="00A41CDD"/>
    <w:rsid w:val="00A44F8C"/>
    <w:rsid w:val="00A45D3F"/>
    <w:rsid w:val="00A47320"/>
    <w:rsid w:val="00A479A0"/>
    <w:rsid w:val="00A50193"/>
    <w:rsid w:val="00A5096D"/>
    <w:rsid w:val="00A53370"/>
    <w:rsid w:val="00A5397A"/>
    <w:rsid w:val="00A55979"/>
    <w:rsid w:val="00A56092"/>
    <w:rsid w:val="00A563DD"/>
    <w:rsid w:val="00A570B8"/>
    <w:rsid w:val="00A62224"/>
    <w:rsid w:val="00A712AF"/>
    <w:rsid w:val="00A7278F"/>
    <w:rsid w:val="00A76CB1"/>
    <w:rsid w:val="00A774B2"/>
    <w:rsid w:val="00A77E4D"/>
    <w:rsid w:val="00A81FF2"/>
    <w:rsid w:val="00A839B0"/>
    <w:rsid w:val="00A876ED"/>
    <w:rsid w:val="00A97960"/>
    <w:rsid w:val="00AA1B46"/>
    <w:rsid w:val="00AA26A8"/>
    <w:rsid w:val="00AA4449"/>
    <w:rsid w:val="00AB024C"/>
    <w:rsid w:val="00AB3A9B"/>
    <w:rsid w:val="00AB4EE8"/>
    <w:rsid w:val="00AC0A14"/>
    <w:rsid w:val="00AC4EAD"/>
    <w:rsid w:val="00AC7CC8"/>
    <w:rsid w:val="00AD5470"/>
    <w:rsid w:val="00AD60BE"/>
    <w:rsid w:val="00AD6C8D"/>
    <w:rsid w:val="00AE2BDB"/>
    <w:rsid w:val="00AE661D"/>
    <w:rsid w:val="00AF1DF3"/>
    <w:rsid w:val="00AF3617"/>
    <w:rsid w:val="00AF41A3"/>
    <w:rsid w:val="00AF71CE"/>
    <w:rsid w:val="00B06A3B"/>
    <w:rsid w:val="00B11F28"/>
    <w:rsid w:val="00B126C0"/>
    <w:rsid w:val="00B134D2"/>
    <w:rsid w:val="00B13FDA"/>
    <w:rsid w:val="00B16066"/>
    <w:rsid w:val="00B16858"/>
    <w:rsid w:val="00B27779"/>
    <w:rsid w:val="00B31AF0"/>
    <w:rsid w:val="00B33A8B"/>
    <w:rsid w:val="00B3782D"/>
    <w:rsid w:val="00B42C49"/>
    <w:rsid w:val="00B43681"/>
    <w:rsid w:val="00B44610"/>
    <w:rsid w:val="00B45F2D"/>
    <w:rsid w:val="00B46103"/>
    <w:rsid w:val="00B52CC7"/>
    <w:rsid w:val="00B558F9"/>
    <w:rsid w:val="00B63CD3"/>
    <w:rsid w:val="00B65C96"/>
    <w:rsid w:val="00B66BEC"/>
    <w:rsid w:val="00B67BE9"/>
    <w:rsid w:val="00B70151"/>
    <w:rsid w:val="00B71C94"/>
    <w:rsid w:val="00B7333B"/>
    <w:rsid w:val="00B75861"/>
    <w:rsid w:val="00B75E7A"/>
    <w:rsid w:val="00B76E2D"/>
    <w:rsid w:val="00B80C2E"/>
    <w:rsid w:val="00B80DCA"/>
    <w:rsid w:val="00B81C10"/>
    <w:rsid w:val="00B835D3"/>
    <w:rsid w:val="00B86732"/>
    <w:rsid w:val="00B9129D"/>
    <w:rsid w:val="00B92E09"/>
    <w:rsid w:val="00B9338B"/>
    <w:rsid w:val="00B936DA"/>
    <w:rsid w:val="00B977F7"/>
    <w:rsid w:val="00B9786E"/>
    <w:rsid w:val="00BA2D6A"/>
    <w:rsid w:val="00BA4579"/>
    <w:rsid w:val="00BA7851"/>
    <w:rsid w:val="00BB3333"/>
    <w:rsid w:val="00BB3AD4"/>
    <w:rsid w:val="00BB4AC3"/>
    <w:rsid w:val="00BB57C8"/>
    <w:rsid w:val="00BB69CA"/>
    <w:rsid w:val="00BB7E69"/>
    <w:rsid w:val="00BC01AC"/>
    <w:rsid w:val="00BC0FC0"/>
    <w:rsid w:val="00BC1238"/>
    <w:rsid w:val="00BC2B0A"/>
    <w:rsid w:val="00BC769C"/>
    <w:rsid w:val="00BD076A"/>
    <w:rsid w:val="00BD130C"/>
    <w:rsid w:val="00BD2417"/>
    <w:rsid w:val="00BD348F"/>
    <w:rsid w:val="00BE5281"/>
    <w:rsid w:val="00BE57AA"/>
    <w:rsid w:val="00BE665B"/>
    <w:rsid w:val="00BF1137"/>
    <w:rsid w:val="00BF261E"/>
    <w:rsid w:val="00BF2D83"/>
    <w:rsid w:val="00BF6CE4"/>
    <w:rsid w:val="00C066E8"/>
    <w:rsid w:val="00C116C9"/>
    <w:rsid w:val="00C1404A"/>
    <w:rsid w:val="00C14725"/>
    <w:rsid w:val="00C14E10"/>
    <w:rsid w:val="00C17086"/>
    <w:rsid w:val="00C1732D"/>
    <w:rsid w:val="00C23CEC"/>
    <w:rsid w:val="00C24D2C"/>
    <w:rsid w:val="00C30569"/>
    <w:rsid w:val="00C31360"/>
    <w:rsid w:val="00C31943"/>
    <w:rsid w:val="00C36A47"/>
    <w:rsid w:val="00C36C8E"/>
    <w:rsid w:val="00C407EE"/>
    <w:rsid w:val="00C40EF0"/>
    <w:rsid w:val="00C509BD"/>
    <w:rsid w:val="00C53FDB"/>
    <w:rsid w:val="00C56630"/>
    <w:rsid w:val="00C60002"/>
    <w:rsid w:val="00C634AF"/>
    <w:rsid w:val="00C6493E"/>
    <w:rsid w:val="00C64CA3"/>
    <w:rsid w:val="00C65B11"/>
    <w:rsid w:val="00C710E5"/>
    <w:rsid w:val="00C71304"/>
    <w:rsid w:val="00C7283C"/>
    <w:rsid w:val="00C73B1E"/>
    <w:rsid w:val="00C7616A"/>
    <w:rsid w:val="00C76ADA"/>
    <w:rsid w:val="00C80471"/>
    <w:rsid w:val="00C8367E"/>
    <w:rsid w:val="00C8427C"/>
    <w:rsid w:val="00C854F0"/>
    <w:rsid w:val="00C86352"/>
    <w:rsid w:val="00C872A1"/>
    <w:rsid w:val="00C913A6"/>
    <w:rsid w:val="00C9146B"/>
    <w:rsid w:val="00C916CF"/>
    <w:rsid w:val="00C91862"/>
    <w:rsid w:val="00CA0551"/>
    <w:rsid w:val="00CA0A0D"/>
    <w:rsid w:val="00CA631F"/>
    <w:rsid w:val="00CB0C4B"/>
    <w:rsid w:val="00CB53F0"/>
    <w:rsid w:val="00CB55F6"/>
    <w:rsid w:val="00CB5FEB"/>
    <w:rsid w:val="00CB67EE"/>
    <w:rsid w:val="00CC18D8"/>
    <w:rsid w:val="00CC3CBC"/>
    <w:rsid w:val="00CC4112"/>
    <w:rsid w:val="00CD119F"/>
    <w:rsid w:val="00CD270F"/>
    <w:rsid w:val="00CD2760"/>
    <w:rsid w:val="00CD3C7B"/>
    <w:rsid w:val="00CD49F8"/>
    <w:rsid w:val="00CD6137"/>
    <w:rsid w:val="00CE1378"/>
    <w:rsid w:val="00CE1D3B"/>
    <w:rsid w:val="00CE4931"/>
    <w:rsid w:val="00CE5B5A"/>
    <w:rsid w:val="00CE6853"/>
    <w:rsid w:val="00CF31E5"/>
    <w:rsid w:val="00CF45F8"/>
    <w:rsid w:val="00CF5614"/>
    <w:rsid w:val="00CF5CC2"/>
    <w:rsid w:val="00CF5FAE"/>
    <w:rsid w:val="00D00856"/>
    <w:rsid w:val="00D01E0E"/>
    <w:rsid w:val="00D05394"/>
    <w:rsid w:val="00D05687"/>
    <w:rsid w:val="00D06041"/>
    <w:rsid w:val="00D0743D"/>
    <w:rsid w:val="00D1028B"/>
    <w:rsid w:val="00D1143F"/>
    <w:rsid w:val="00D171CD"/>
    <w:rsid w:val="00D2146C"/>
    <w:rsid w:val="00D21918"/>
    <w:rsid w:val="00D26172"/>
    <w:rsid w:val="00D27A18"/>
    <w:rsid w:val="00D3587B"/>
    <w:rsid w:val="00D4137D"/>
    <w:rsid w:val="00D456D5"/>
    <w:rsid w:val="00D45AB4"/>
    <w:rsid w:val="00D46990"/>
    <w:rsid w:val="00D51705"/>
    <w:rsid w:val="00D543E7"/>
    <w:rsid w:val="00D576A9"/>
    <w:rsid w:val="00D60071"/>
    <w:rsid w:val="00D60825"/>
    <w:rsid w:val="00D60C6F"/>
    <w:rsid w:val="00D647BC"/>
    <w:rsid w:val="00D654E8"/>
    <w:rsid w:val="00D65F6D"/>
    <w:rsid w:val="00D66C87"/>
    <w:rsid w:val="00D70B8C"/>
    <w:rsid w:val="00D70C96"/>
    <w:rsid w:val="00D71757"/>
    <w:rsid w:val="00D72E35"/>
    <w:rsid w:val="00D73504"/>
    <w:rsid w:val="00D754C4"/>
    <w:rsid w:val="00D769D5"/>
    <w:rsid w:val="00D772B8"/>
    <w:rsid w:val="00D81F71"/>
    <w:rsid w:val="00D82388"/>
    <w:rsid w:val="00D82427"/>
    <w:rsid w:val="00D829F1"/>
    <w:rsid w:val="00D8570A"/>
    <w:rsid w:val="00D870E7"/>
    <w:rsid w:val="00D876E3"/>
    <w:rsid w:val="00D90A8E"/>
    <w:rsid w:val="00D9141A"/>
    <w:rsid w:val="00D92468"/>
    <w:rsid w:val="00D92A11"/>
    <w:rsid w:val="00D92FB4"/>
    <w:rsid w:val="00DA1BC6"/>
    <w:rsid w:val="00DA2C89"/>
    <w:rsid w:val="00DA35F6"/>
    <w:rsid w:val="00DA368A"/>
    <w:rsid w:val="00DA5433"/>
    <w:rsid w:val="00DA79F1"/>
    <w:rsid w:val="00DB52A9"/>
    <w:rsid w:val="00DB5589"/>
    <w:rsid w:val="00DB6107"/>
    <w:rsid w:val="00DB6257"/>
    <w:rsid w:val="00DB6718"/>
    <w:rsid w:val="00DB6C96"/>
    <w:rsid w:val="00DC4AFC"/>
    <w:rsid w:val="00DC4E28"/>
    <w:rsid w:val="00DC51E8"/>
    <w:rsid w:val="00DC6893"/>
    <w:rsid w:val="00DC68BA"/>
    <w:rsid w:val="00DE0D0E"/>
    <w:rsid w:val="00DE1D57"/>
    <w:rsid w:val="00DE6920"/>
    <w:rsid w:val="00E004A4"/>
    <w:rsid w:val="00E04663"/>
    <w:rsid w:val="00E10CDD"/>
    <w:rsid w:val="00E139C3"/>
    <w:rsid w:val="00E147D5"/>
    <w:rsid w:val="00E15838"/>
    <w:rsid w:val="00E16C06"/>
    <w:rsid w:val="00E16CB6"/>
    <w:rsid w:val="00E179F1"/>
    <w:rsid w:val="00E17C95"/>
    <w:rsid w:val="00E2268D"/>
    <w:rsid w:val="00E245CF"/>
    <w:rsid w:val="00E30FD0"/>
    <w:rsid w:val="00E352D2"/>
    <w:rsid w:val="00E370C5"/>
    <w:rsid w:val="00E3728C"/>
    <w:rsid w:val="00E37ED5"/>
    <w:rsid w:val="00E4108B"/>
    <w:rsid w:val="00E41A57"/>
    <w:rsid w:val="00E42832"/>
    <w:rsid w:val="00E4310D"/>
    <w:rsid w:val="00E454A8"/>
    <w:rsid w:val="00E47BA9"/>
    <w:rsid w:val="00E51D54"/>
    <w:rsid w:val="00E530EA"/>
    <w:rsid w:val="00E542CD"/>
    <w:rsid w:val="00E54529"/>
    <w:rsid w:val="00E553F5"/>
    <w:rsid w:val="00E57B9B"/>
    <w:rsid w:val="00E61AC3"/>
    <w:rsid w:val="00E640D8"/>
    <w:rsid w:val="00E70377"/>
    <w:rsid w:val="00E70AF3"/>
    <w:rsid w:val="00E72DCF"/>
    <w:rsid w:val="00E731B2"/>
    <w:rsid w:val="00E732CA"/>
    <w:rsid w:val="00E73349"/>
    <w:rsid w:val="00E775FA"/>
    <w:rsid w:val="00E77A8B"/>
    <w:rsid w:val="00E84BAE"/>
    <w:rsid w:val="00E85B2A"/>
    <w:rsid w:val="00E8701A"/>
    <w:rsid w:val="00E903D1"/>
    <w:rsid w:val="00E92FA7"/>
    <w:rsid w:val="00E94096"/>
    <w:rsid w:val="00E96D4D"/>
    <w:rsid w:val="00EA120E"/>
    <w:rsid w:val="00EA13D9"/>
    <w:rsid w:val="00EA1A3C"/>
    <w:rsid w:val="00EA2F48"/>
    <w:rsid w:val="00EA5800"/>
    <w:rsid w:val="00EA5F81"/>
    <w:rsid w:val="00EA6D7A"/>
    <w:rsid w:val="00EB01CC"/>
    <w:rsid w:val="00EB0FFC"/>
    <w:rsid w:val="00EB245F"/>
    <w:rsid w:val="00EB2DC4"/>
    <w:rsid w:val="00EB651C"/>
    <w:rsid w:val="00EC15DB"/>
    <w:rsid w:val="00EC291A"/>
    <w:rsid w:val="00EC3D70"/>
    <w:rsid w:val="00EC4DBB"/>
    <w:rsid w:val="00EC569F"/>
    <w:rsid w:val="00EC5B9E"/>
    <w:rsid w:val="00ED11A4"/>
    <w:rsid w:val="00ED223B"/>
    <w:rsid w:val="00ED2247"/>
    <w:rsid w:val="00ED57EF"/>
    <w:rsid w:val="00ED6625"/>
    <w:rsid w:val="00ED7D38"/>
    <w:rsid w:val="00ED7D49"/>
    <w:rsid w:val="00EE03BC"/>
    <w:rsid w:val="00EE0CFC"/>
    <w:rsid w:val="00EE3A18"/>
    <w:rsid w:val="00EE3D69"/>
    <w:rsid w:val="00EE6F48"/>
    <w:rsid w:val="00EF2BFD"/>
    <w:rsid w:val="00EF3606"/>
    <w:rsid w:val="00EF47CD"/>
    <w:rsid w:val="00EF6122"/>
    <w:rsid w:val="00EF7D04"/>
    <w:rsid w:val="00F011AE"/>
    <w:rsid w:val="00F11417"/>
    <w:rsid w:val="00F1390A"/>
    <w:rsid w:val="00F14857"/>
    <w:rsid w:val="00F14E89"/>
    <w:rsid w:val="00F17F79"/>
    <w:rsid w:val="00F204F3"/>
    <w:rsid w:val="00F213BC"/>
    <w:rsid w:val="00F222EC"/>
    <w:rsid w:val="00F24B2D"/>
    <w:rsid w:val="00F255E9"/>
    <w:rsid w:val="00F25720"/>
    <w:rsid w:val="00F32858"/>
    <w:rsid w:val="00F33E17"/>
    <w:rsid w:val="00F34135"/>
    <w:rsid w:val="00F34C20"/>
    <w:rsid w:val="00F405D7"/>
    <w:rsid w:val="00F4123B"/>
    <w:rsid w:val="00F41745"/>
    <w:rsid w:val="00F42071"/>
    <w:rsid w:val="00F424EC"/>
    <w:rsid w:val="00F4427E"/>
    <w:rsid w:val="00F44848"/>
    <w:rsid w:val="00F45201"/>
    <w:rsid w:val="00F524FA"/>
    <w:rsid w:val="00F53ABD"/>
    <w:rsid w:val="00F558B8"/>
    <w:rsid w:val="00F566A3"/>
    <w:rsid w:val="00F57136"/>
    <w:rsid w:val="00F607D5"/>
    <w:rsid w:val="00F61BBB"/>
    <w:rsid w:val="00F63594"/>
    <w:rsid w:val="00F64938"/>
    <w:rsid w:val="00F7176B"/>
    <w:rsid w:val="00F72335"/>
    <w:rsid w:val="00F73DE5"/>
    <w:rsid w:val="00F7584B"/>
    <w:rsid w:val="00F762E1"/>
    <w:rsid w:val="00F83BBD"/>
    <w:rsid w:val="00F87C10"/>
    <w:rsid w:val="00F90F8B"/>
    <w:rsid w:val="00F91347"/>
    <w:rsid w:val="00F929AA"/>
    <w:rsid w:val="00F931C6"/>
    <w:rsid w:val="00F94204"/>
    <w:rsid w:val="00F9428D"/>
    <w:rsid w:val="00F94911"/>
    <w:rsid w:val="00F94BF4"/>
    <w:rsid w:val="00F95DCA"/>
    <w:rsid w:val="00F96F56"/>
    <w:rsid w:val="00F9733C"/>
    <w:rsid w:val="00FA2ED4"/>
    <w:rsid w:val="00FA3ADB"/>
    <w:rsid w:val="00FA3FBD"/>
    <w:rsid w:val="00FA49C0"/>
    <w:rsid w:val="00FA50E8"/>
    <w:rsid w:val="00FA6295"/>
    <w:rsid w:val="00FB0392"/>
    <w:rsid w:val="00FB6ABF"/>
    <w:rsid w:val="00FB6B62"/>
    <w:rsid w:val="00FC201E"/>
    <w:rsid w:val="00FC272A"/>
    <w:rsid w:val="00FC7C80"/>
    <w:rsid w:val="00FD1289"/>
    <w:rsid w:val="00FD4E03"/>
    <w:rsid w:val="00FD7B4C"/>
    <w:rsid w:val="00FE23A7"/>
    <w:rsid w:val="00FE4F09"/>
    <w:rsid w:val="00FF03C7"/>
    <w:rsid w:val="00FF434B"/>
    <w:rsid w:val="00FF4E97"/>
    <w:rsid w:val="00FF504A"/>
    <w:rsid w:val="00FF6D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93"/>
        <o:r id="V:Rule11" type="connector" idref="#_x0000_s1092"/>
        <o:r id="V:Rule12" type="connector" idref="#_x0000_s1096"/>
        <o:r id="V:Rule13" type="connector" idref="#_x0000_s1097"/>
        <o:r id="V:Rule14" type="connector" idref="#_x0000_s1177"/>
        <o:r id="V:Rule15" type="connector" idref="#_x0000_s1178"/>
        <o:r id="V:Rule16" type="connector" idref="#_x0000_s1095"/>
        <o:r id="V:Rule17" type="connector" idref="#_x0000_s1094"/>
        <o:r id="V:Rule18" type="connector" idref="#_x0000_s1091"/>
      </o:rules>
      <o:regrouptable v:ext="edit">
        <o:entry new="1" old="0"/>
        <o:entry new="2" old="1"/>
        <o:entry new="3" old="0"/>
        <o:entry new="4"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5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E7F54"/>
    <w:pPr>
      <w:keepNext/>
      <w:tabs>
        <w:tab w:val="left" w:pos="851"/>
      </w:tabs>
      <w:jc w:val="center"/>
      <w:outlineLvl w:val="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7F54"/>
    <w:rPr>
      <w:rFonts w:ascii="Arial" w:eastAsia="Times New Roman" w:hAnsi="Arial" w:cs="Times New Roman"/>
      <w:sz w:val="24"/>
      <w:szCs w:val="20"/>
      <w:lang w:eastAsia="fr-FR"/>
    </w:rPr>
  </w:style>
  <w:style w:type="character" w:styleId="Lienhypertexte">
    <w:name w:val="Hyperlink"/>
    <w:basedOn w:val="Policepardfaut"/>
    <w:uiPriority w:val="99"/>
    <w:unhideWhenUsed/>
    <w:rsid w:val="009E7F54"/>
    <w:rPr>
      <w:color w:val="0000FF"/>
      <w:u w:val="single"/>
    </w:rPr>
  </w:style>
  <w:style w:type="paragraph" w:styleId="En-tte">
    <w:name w:val="header"/>
    <w:basedOn w:val="Normal"/>
    <w:link w:val="En-tteCar"/>
    <w:semiHidden/>
    <w:rsid w:val="009E7F54"/>
    <w:pPr>
      <w:tabs>
        <w:tab w:val="center" w:pos="4536"/>
        <w:tab w:val="right" w:pos="9072"/>
      </w:tabs>
    </w:pPr>
    <w:rPr>
      <w:sz w:val="24"/>
      <w:szCs w:val="24"/>
    </w:rPr>
  </w:style>
  <w:style w:type="character" w:customStyle="1" w:styleId="En-tteCar">
    <w:name w:val="En-tête Car"/>
    <w:basedOn w:val="Policepardfaut"/>
    <w:link w:val="En-tte"/>
    <w:semiHidden/>
    <w:rsid w:val="009E7F5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70B8"/>
    <w:rPr>
      <w:rFonts w:ascii="Tahoma" w:hAnsi="Tahoma" w:cs="Tahoma"/>
      <w:sz w:val="16"/>
      <w:szCs w:val="16"/>
    </w:rPr>
  </w:style>
  <w:style w:type="character" w:customStyle="1" w:styleId="TextedebullesCar">
    <w:name w:val="Texte de bulles Car"/>
    <w:basedOn w:val="Policepardfaut"/>
    <w:link w:val="Textedebulles"/>
    <w:uiPriority w:val="99"/>
    <w:semiHidden/>
    <w:rsid w:val="00A570B8"/>
    <w:rPr>
      <w:rFonts w:ascii="Tahoma" w:eastAsia="Times New Roman" w:hAnsi="Tahoma" w:cs="Tahoma"/>
      <w:sz w:val="16"/>
      <w:szCs w:val="16"/>
      <w:lang w:eastAsia="fr-FR"/>
    </w:rPr>
  </w:style>
  <w:style w:type="paragraph" w:styleId="Paragraphedeliste">
    <w:name w:val="List Paragraph"/>
    <w:basedOn w:val="Normal"/>
    <w:qFormat/>
    <w:rsid w:val="00F762E1"/>
    <w:pPr>
      <w:ind w:left="720"/>
      <w:contextualSpacing/>
    </w:pPr>
  </w:style>
  <w:style w:type="paragraph" w:customStyle="1" w:styleId="Stylepardfaut">
    <w:name w:val="Style par défaut"/>
    <w:rsid w:val="00A774B2"/>
    <w:pPr>
      <w:suppressAutoHyphens/>
    </w:pPr>
    <w:rPr>
      <w:rFonts w:ascii="Calibri" w:eastAsia="SimSun" w:hAnsi="Calibri" w:cs="Calibri"/>
    </w:rPr>
  </w:style>
  <w:style w:type="paragraph" w:styleId="Pieddepage">
    <w:name w:val="footer"/>
    <w:basedOn w:val="Stylepardfaut"/>
    <w:link w:val="PieddepageCar"/>
    <w:rsid w:val="00A774B2"/>
    <w:pPr>
      <w:tabs>
        <w:tab w:val="center" w:pos="4536"/>
        <w:tab w:val="right" w:pos="9072"/>
      </w:tabs>
      <w:spacing w:after="0" w:line="100" w:lineRule="atLeast"/>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774B2"/>
    <w:rPr>
      <w:rFonts w:ascii="Times New Roman" w:eastAsia="Times New Roman" w:hAnsi="Times New Roman" w:cs="Times New Roman"/>
      <w:sz w:val="24"/>
      <w:szCs w:val="24"/>
      <w:lang w:eastAsia="fr-FR"/>
    </w:rPr>
  </w:style>
  <w:style w:type="paragraph" w:customStyle="1" w:styleId="Retraitdecorpsdetexte">
    <w:name w:val="Retrait de corps de texte"/>
    <w:basedOn w:val="Stylepardfaut"/>
    <w:rsid w:val="00A774B2"/>
    <w:pPr>
      <w:spacing w:after="120" w:line="100" w:lineRule="atLeast"/>
      <w:ind w:left="283"/>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tissimo.fr"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wmf"/><Relationship Id="rId47" Type="http://schemas.openxmlformats.org/officeDocument/2006/relationships/theme" Target="theme/theme1.xml"/><Relationship Id="rId7" Type="http://schemas.openxmlformats.org/officeDocument/2006/relationships/image" Target="http://amelioretasante.com/wp-content/uploads/2014/04/Thyro%C3%AFde.jpg" TargetMode="Externa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http://med-travel.pl/wp-content/uploads/2014/02/imageServer.jpg" TargetMode="External"/><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F116-268A-4824-B1C4-C064D356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1661</Words>
  <Characters>9136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dc:creator>
  <cp:lastModifiedBy>User PC</cp:lastModifiedBy>
  <cp:revision>4</cp:revision>
  <cp:lastPrinted>2015-03-15T18:58:00Z</cp:lastPrinted>
  <dcterms:created xsi:type="dcterms:W3CDTF">2015-06-18T10:59:00Z</dcterms:created>
  <dcterms:modified xsi:type="dcterms:W3CDTF">2015-08-31T12:52:00Z</dcterms:modified>
</cp:coreProperties>
</file>