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6912"/>
        <w:gridCol w:w="3686"/>
      </w:tblGrid>
      <w:tr w:rsidR="003545E0" w:rsidRPr="00F171F4" w14:paraId="072A097D" w14:textId="77777777" w:rsidTr="00415B3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4E5" w14:textId="0A2F9776" w:rsidR="003545E0" w:rsidRPr="00415B30" w:rsidRDefault="003545E0" w:rsidP="00415B30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171F4">
              <w:rPr>
                <w:rFonts w:ascii="Times New Roman" w:hAnsi="Times New Roman"/>
                <w:sz w:val="32"/>
                <w:szCs w:val="32"/>
              </w:rPr>
              <w:br w:type="page"/>
            </w:r>
            <w:r w:rsidRPr="00F171F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Titre de l’activité</w:t>
            </w:r>
            <w:r w:rsidR="00415B30">
              <w:rPr>
                <w:rFonts w:ascii="Times New Roman" w:hAnsi="Times New Roman"/>
                <w:b/>
                <w:sz w:val="32"/>
                <w:szCs w:val="32"/>
              </w:rPr>
              <w:t xml:space="preserve"> : </w:t>
            </w:r>
            <w:r w:rsidR="00F43CD2">
              <w:rPr>
                <w:rFonts w:ascii="Times New Roman" w:hAnsi="Times New Roman"/>
                <w:b/>
                <w:sz w:val="32"/>
                <w:szCs w:val="32"/>
              </w:rPr>
              <w:t>Sujet DNB Juin 2017</w:t>
            </w:r>
          </w:p>
        </w:tc>
      </w:tr>
      <w:tr w:rsidR="00E20A1C" w:rsidRPr="00F171F4" w14:paraId="254697D4" w14:textId="77777777" w:rsidTr="00415B30">
        <w:trPr>
          <w:trHeight w:val="5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125" w14:textId="77777777" w:rsidR="003545E0" w:rsidRPr="00F171F4" w:rsidRDefault="003545E0" w:rsidP="009C5A41">
            <w:pPr>
              <w:spacing w:before="120"/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  <w:b/>
              </w:rPr>
              <w:t>Académie de CR</w:t>
            </w:r>
            <w:r w:rsidR="00E20A1C">
              <w:rPr>
                <w:rFonts w:ascii="Times New Roman" w:hAnsi="Times New Roman"/>
                <w:b/>
              </w:rPr>
              <w:t>É</w:t>
            </w:r>
            <w:r w:rsidRPr="00F171F4">
              <w:rPr>
                <w:rFonts w:ascii="Times New Roman" w:hAnsi="Times New Roman"/>
                <w:b/>
              </w:rPr>
              <w:t xml:space="preserve">TEIL </w:t>
            </w:r>
            <w:r w:rsidR="00A81891" w:rsidRPr="00F171F4">
              <w:rPr>
                <w:rFonts w:ascii="Times New Roman" w:hAnsi="Times New Roman"/>
                <w:b/>
              </w:rPr>
              <w:t>– GREID Physique-C</w:t>
            </w:r>
            <w:r w:rsidRPr="00F171F4">
              <w:rPr>
                <w:rFonts w:ascii="Times New Roman" w:hAnsi="Times New Roman"/>
                <w:b/>
              </w:rPr>
              <w:t xml:space="preserve">himie </w:t>
            </w:r>
            <w:r w:rsidR="00A81891" w:rsidRPr="00F171F4">
              <w:rPr>
                <w:rFonts w:ascii="Times New Roman" w:hAnsi="Times New Roman"/>
                <w:b/>
              </w:rPr>
              <w:t>–</w:t>
            </w:r>
            <w:r w:rsidRPr="00F171F4">
              <w:rPr>
                <w:rFonts w:ascii="Times New Roman" w:hAnsi="Times New Roman"/>
                <w:b/>
              </w:rPr>
              <w:t xml:space="preserve"> Groupe Collège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640" w14:textId="265F08D6" w:rsidR="003545E0" w:rsidRPr="00F171F4" w:rsidRDefault="003545E0" w:rsidP="009C5A41">
            <w:pPr>
              <w:spacing w:before="120"/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Date</w:t>
            </w:r>
            <w:r w:rsidRPr="00F171F4">
              <w:rPr>
                <w:rFonts w:ascii="Times New Roman" w:hAnsi="Times New Roman"/>
                <w:b/>
              </w:rPr>
              <w:t xml:space="preserve"> : </w:t>
            </w:r>
            <w:r w:rsidR="00E03B70" w:rsidRPr="00F171F4">
              <w:rPr>
                <w:rFonts w:ascii="Times New Roman" w:hAnsi="Times New Roman"/>
              </w:rPr>
              <w:t>septembre</w:t>
            </w:r>
            <w:r w:rsidRPr="00F171F4">
              <w:rPr>
                <w:rFonts w:ascii="Times New Roman" w:hAnsi="Times New Roman"/>
              </w:rPr>
              <w:t xml:space="preserve"> 201</w:t>
            </w:r>
            <w:r w:rsidR="00223D77">
              <w:rPr>
                <w:rFonts w:ascii="Times New Roman" w:hAnsi="Times New Roman"/>
              </w:rPr>
              <w:t>8</w:t>
            </w:r>
          </w:p>
        </w:tc>
      </w:tr>
      <w:tr w:rsidR="00E20A1C" w:rsidRPr="00F171F4" w14:paraId="655D616C" w14:textId="77777777" w:rsidTr="00415B30">
        <w:trPr>
          <w:trHeight w:val="18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ACC" w14:textId="77777777" w:rsidR="003545E0" w:rsidRPr="00F171F4" w:rsidRDefault="000B5C84" w:rsidP="00E65255">
            <w:pPr>
              <w:spacing w:before="12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Cycle 4</w:t>
            </w:r>
          </w:p>
          <w:p w14:paraId="227CDDBB" w14:textId="77777777" w:rsidR="003A1196" w:rsidRDefault="003A1196" w:rsidP="004E5D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 xml:space="preserve">En début d’apprentissage </w:t>
            </w:r>
          </w:p>
          <w:p w14:paraId="2B5300F3" w14:textId="77777777" w:rsidR="004E5DC6" w:rsidRPr="00F171F4" w:rsidRDefault="003545E0" w:rsidP="004E5D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>En poursuite d’apprentissage</w:t>
            </w:r>
          </w:p>
          <w:p w14:paraId="2A583A57" w14:textId="77777777" w:rsidR="003545E0" w:rsidRPr="00F171F4" w:rsidRDefault="003545E0" w:rsidP="004E5DC6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>En consolidation d’apprentissage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73" w14:textId="77777777" w:rsidR="00E65255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Type d’activité</w:t>
            </w:r>
          </w:p>
          <w:p w14:paraId="70E933B2" w14:textId="3E8DF064" w:rsidR="00E03B70" w:rsidRPr="00F171F4" w:rsidRDefault="00223D77" w:rsidP="00E6525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Module « </w:t>
            </w:r>
            <w:proofErr w:type="spellStart"/>
            <w:r>
              <w:rPr>
                <w:rFonts w:ascii="Times New Roman" w:hAnsi="Times New Roman"/>
              </w:rPr>
              <w:t>Tactiléo</w:t>
            </w:r>
            <w:proofErr w:type="spellEnd"/>
            <w:r>
              <w:rPr>
                <w:rFonts w:ascii="Times New Roman" w:hAnsi="Times New Roman"/>
              </w:rPr>
              <w:t> »</w:t>
            </w:r>
          </w:p>
          <w:p w14:paraId="3D711DBA" w14:textId="77777777" w:rsidR="003545E0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Durée</w:t>
            </w:r>
          </w:p>
          <w:p w14:paraId="378E3393" w14:textId="6D6A544B" w:rsidR="003545E0" w:rsidRPr="00F171F4" w:rsidRDefault="00223D77" w:rsidP="00E65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 – de 10 à 30 minutes</w:t>
            </w:r>
          </w:p>
        </w:tc>
      </w:tr>
      <w:tr w:rsidR="003545E0" w:rsidRPr="00F171F4" w14:paraId="6A8CF670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  <w:tcBorders>
              <w:top w:val="nil"/>
              <w:bottom w:val="single" w:sz="4" w:space="0" w:color="000000"/>
            </w:tcBorders>
          </w:tcPr>
          <w:p w14:paraId="4A6F4FF7" w14:textId="7777777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 xml:space="preserve">But de </w:t>
            </w:r>
            <w:r w:rsidRPr="00F171F4">
              <w:rPr>
                <w:rFonts w:ascii="Times New Roman" w:hAnsi="Times New Roman"/>
                <w:b/>
                <w:u w:val="single"/>
              </w:rPr>
              <w:t>l’activité</w:t>
            </w:r>
          </w:p>
          <w:p w14:paraId="08333AE2" w14:textId="1AA28BF3" w:rsidR="006A7D1F" w:rsidRDefault="006A7D1F" w:rsidP="00415B3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 module « </w:t>
            </w:r>
            <w:proofErr w:type="spellStart"/>
            <w:r>
              <w:rPr>
                <w:rFonts w:ascii="Times New Roman" w:hAnsi="Times New Roman"/>
              </w:rPr>
              <w:t>Tactiléo</w:t>
            </w:r>
            <w:proofErr w:type="spellEnd"/>
            <w:r>
              <w:rPr>
                <w:rFonts w:ascii="Times New Roman" w:hAnsi="Times New Roman"/>
              </w:rPr>
              <w:t xml:space="preserve"> » </w:t>
            </w:r>
            <w:r w:rsidRPr="006A7D1F">
              <w:rPr>
                <w:rFonts w:ascii="Times New Roman" w:hAnsi="Times New Roman"/>
              </w:rPr>
              <w:t xml:space="preserve">permet de </w:t>
            </w:r>
            <w:r w:rsidR="009C554C">
              <w:rPr>
                <w:rFonts w:ascii="Times New Roman" w:hAnsi="Times New Roman"/>
              </w:rPr>
              <w:t xml:space="preserve">à l’élève de s’entraîner sur le sujet du DNB de Juin 2017 (partie physique-chimie). </w:t>
            </w:r>
          </w:p>
          <w:p w14:paraId="716A325B" w14:textId="6C4E056E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Partie du programme</w:t>
            </w:r>
          </w:p>
          <w:p w14:paraId="0AEB5C89" w14:textId="77777777" w:rsidR="009C4593" w:rsidRPr="009C4593" w:rsidRDefault="009C4593" w:rsidP="009C4593">
            <w:pPr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  <w:r w:rsidRPr="009C4593">
              <w:rPr>
                <w:rFonts w:ascii="Times New Roman" w:hAnsi="Times New Roman"/>
                <w:lang w:eastAsia="ar-SA"/>
              </w:rPr>
              <w:t>L’énergie et ses conversions</w:t>
            </w:r>
          </w:p>
          <w:p w14:paraId="292D35EB" w14:textId="7777777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Attendus de fin de cycle</w:t>
            </w:r>
          </w:p>
          <w:p w14:paraId="2AEA6FCC" w14:textId="77777777" w:rsidR="009C554C" w:rsidRPr="009C554C" w:rsidRDefault="009C554C" w:rsidP="009C554C">
            <w:pPr>
              <w:spacing w:before="60" w:after="60"/>
              <w:rPr>
                <w:rFonts w:ascii="Times New Roman" w:hAnsi="Times New Roman"/>
                <w:b/>
              </w:rPr>
            </w:pPr>
            <w:r w:rsidRPr="009C554C">
              <w:rPr>
                <w:rFonts w:ascii="Times New Roman" w:hAnsi="Times New Roman"/>
              </w:rPr>
              <w:t>Identifier les sources, les transferts, les conversions et les formes d’énergie.</w:t>
            </w:r>
          </w:p>
          <w:p w14:paraId="7ECFA339" w14:textId="77777777" w:rsidR="009C554C" w:rsidRPr="009C554C" w:rsidRDefault="009C554C" w:rsidP="009C554C">
            <w:pPr>
              <w:spacing w:before="60" w:after="60"/>
              <w:rPr>
                <w:rFonts w:ascii="Times New Roman" w:hAnsi="Times New Roman"/>
              </w:rPr>
            </w:pPr>
            <w:r w:rsidRPr="009C554C">
              <w:rPr>
                <w:rFonts w:ascii="Times New Roman" w:hAnsi="Times New Roman"/>
              </w:rPr>
              <w:t>Utiliser la conservation de l’énergie.</w:t>
            </w:r>
          </w:p>
          <w:p w14:paraId="5C32647D" w14:textId="5EBBF20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Prérequis</w:t>
            </w:r>
          </w:p>
          <w:p w14:paraId="617542B5" w14:textId="797675F8" w:rsidR="006A7D1F" w:rsidRPr="009C554C" w:rsidRDefault="009C554C" w:rsidP="009C554C">
            <w:pPr>
              <w:pStyle w:val="Paragraphedeliste"/>
              <w:numPr>
                <w:ilvl w:val="0"/>
                <w:numId w:val="4"/>
              </w:numPr>
              <w:snapToGrid w:val="0"/>
              <w:spacing w:before="60" w:after="60"/>
              <w:rPr>
                <w:rFonts w:ascii="Times New Roman" w:hAnsi="Times New Roman"/>
              </w:rPr>
            </w:pPr>
            <w:r w:rsidRPr="009C554C">
              <w:rPr>
                <w:rFonts w:ascii="Times New Roman" w:hAnsi="Times New Roman"/>
              </w:rPr>
              <w:t>Utiliser la relation liant puissance, énergie et durée.</w:t>
            </w:r>
          </w:p>
        </w:tc>
      </w:tr>
      <w:tr w:rsidR="003545E0" w:rsidRPr="00F171F4" w14:paraId="6D3B073E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  <w:tcBorders>
              <w:top w:val="nil"/>
              <w:bottom w:val="single" w:sz="4" w:space="0" w:color="000000"/>
            </w:tcBorders>
          </w:tcPr>
          <w:p w14:paraId="3CD71AFA" w14:textId="77777777" w:rsidR="003545E0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Co</w:t>
            </w:r>
            <w:r w:rsidR="000B5C84" w:rsidRPr="00F171F4">
              <w:rPr>
                <w:rFonts w:ascii="Times New Roman" w:hAnsi="Times New Roman"/>
                <w:b/>
                <w:u w:val="single"/>
              </w:rPr>
              <w:t>mpétences</w:t>
            </w:r>
            <w:r w:rsidR="000B5C84" w:rsidRPr="00F171F4">
              <w:rPr>
                <w:rFonts w:ascii="Times New Roman" w:hAnsi="Times New Roman"/>
                <w:b/>
                <w:color w:val="000000"/>
                <w:u w:val="single"/>
              </w:rPr>
              <w:t xml:space="preserve"> pouvant être évaluées</w:t>
            </w:r>
          </w:p>
          <w:p w14:paraId="28BC8B5E" w14:textId="2F84E551" w:rsidR="003545E0" w:rsidRPr="00415B30" w:rsidRDefault="00415B30" w:rsidP="00415B30">
            <w:pPr>
              <w:rPr>
                <w:rFonts w:ascii="Times New Roman" w:hAnsi="Times New Roman"/>
                <w:color w:val="000000"/>
              </w:rPr>
            </w:pPr>
            <w:r w:rsidRPr="00415B30">
              <w:rPr>
                <w:rFonts w:ascii="Times New Roman" w:hAnsi="Times New Roman"/>
                <w:b/>
                <w:color w:val="000000"/>
              </w:rPr>
              <w:t>[1.3.Lan] </w:t>
            </w:r>
            <w:r w:rsidRPr="00415B30">
              <w:rPr>
                <w:rFonts w:ascii="Times New Roman" w:hAnsi="Times New Roman"/>
                <w:color w:val="000000"/>
              </w:rPr>
              <w:t>Passer d’une forme de langage scientifique à une autre (maîtrise</w:t>
            </w:r>
            <w:r w:rsidR="00311285">
              <w:rPr>
                <w:rFonts w:ascii="Times New Roman" w:hAnsi="Times New Roman"/>
                <w:color w:val="000000"/>
              </w:rPr>
              <w:t xml:space="preserve">r </w:t>
            </w:r>
            <w:r w:rsidRPr="00415B30">
              <w:rPr>
                <w:rFonts w:ascii="Times New Roman" w:hAnsi="Times New Roman"/>
                <w:color w:val="000000"/>
              </w:rPr>
              <w:t>l’outil mathématique).</w:t>
            </w:r>
          </w:p>
          <w:p w14:paraId="30372BB4" w14:textId="699A73D5" w:rsidR="009C554C" w:rsidRPr="009C554C" w:rsidRDefault="009C554C" w:rsidP="009C554C">
            <w:pPr>
              <w:rPr>
                <w:rFonts w:ascii="Times New Roman" w:hAnsi="Times New Roman"/>
                <w:b/>
                <w:color w:val="000000"/>
              </w:rPr>
            </w:pPr>
            <w:r w:rsidRPr="009C554C">
              <w:rPr>
                <w:rFonts w:ascii="Times New Roman" w:hAnsi="Times New Roman"/>
                <w:b/>
                <w:color w:val="000000"/>
              </w:rPr>
              <w:t>[1.3.Lan] </w:t>
            </w:r>
            <w:r w:rsidRPr="009C554C">
              <w:rPr>
                <w:rFonts w:ascii="Times New Roman" w:hAnsi="Times New Roman"/>
                <w:color w:val="000000"/>
              </w:rPr>
              <w:t>Lire et comprendre des documents scientifiques.</w:t>
            </w:r>
          </w:p>
          <w:p w14:paraId="4E494DD0" w14:textId="635F4488" w:rsidR="00415B30" w:rsidRPr="009C554C" w:rsidRDefault="009C554C" w:rsidP="00415B30">
            <w:pPr>
              <w:rPr>
                <w:rFonts w:ascii="Times New Roman" w:hAnsi="Times New Roman"/>
                <w:b/>
                <w:color w:val="000000"/>
              </w:rPr>
            </w:pPr>
            <w:r w:rsidRPr="009C554C">
              <w:rPr>
                <w:rFonts w:ascii="Times New Roman" w:hAnsi="Times New Roman"/>
                <w:b/>
                <w:color w:val="000000"/>
              </w:rPr>
              <w:t>[1.1.Lan] </w:t>
            </w:r>
            <w:r w:rsidRPr="009C554C">
              <w:rPr>
                <w:rFonts w:ascii="Times New Roman" w:hAnsi="Times New Roman"/>
                <w:color w:val="000000"/>
              </w:rPr>
              <w:t>Utiliser la langue française en cultivant précision, richesse de vocabulaire et syntaxe.</w:t>
            </w:r>
          </w:p>
        </w:tc>
      </w:tr>
      <w:tr w:rsidR="003545E0" w:rsidRPr="00F171F4" w14:paraId="1726A38B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10598" w:type="dxa"/>
            <w:gridSpan w:val="2"/>
          </w:tcPr>
          <w:p w14:paraId="0C91B7D5" w14:textId="77777777" w:rsidR="003545E0" w:rsidRPr="00F171F4" w:rsidRDefault="003545E0" w:rsidP="009C5A41">
            <w:pPr>
              <w:spacing w:before="12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Curseur SAMR</w:t>
            </w:r>
          </w:p>
          <w:p w14:paraId="4D4625D8" w14:textId="5E2E514E" w:rsidR="003545E0" w:rsidRPr="00F171F4" w:rsidRDefault="003545E0" w:rsidP="009C5A41">
            <w:pPr>
              <w:spacing w:after="120"/>
              <w:rPr>
                <w:rFonts w:ascii="Times New Roman" w:hAnsi="Times New Roman"/>
                <w:bCs/>
                <w:lang w:eastAsia="ar-SA"/>
              </w:rPr>
            </w:pPr>
            <w:r w:rsidRPr="00F171F4">
              <w:rPr>
                <w:rFonts w:ascii="Times New Roman" w:hAnsi="Times New Roman"/>
              </w:rPr>
              <w:sym w:font="Wingdings 2" w:char="F0A3"/>
            </w:r>
            <w:r w:rsidRPr="00F171F4">
              <w:rPr>
                <w:rFonts w:ascii="Times New Roman" w:hAnsi="Times New Roman"/>
              </w:rPr>
              <w:t xml:space="preserve"> Substitution     </w:t>
            </w:r>
            <w:r w:rsidR="00223D77" w:rsidRPr="00F171F4">
              <w:rPr>
                <w:rFonts w:ascii="Times New Roman" w:hAnsi="Times New Roman"/>
              </w:rPr>
              <w:sym w:font="Wingdings 2" w:char="F0A3"/>
            </w:r>
            <w:r w:rsidR="0089005E">
              <w:rPr>
                <w:rFonts w:ascii="Times New Roman" w:hAnsi="Times New Roman"/>
              </w:rPr>
              <w:t xml:space="preserve"> </w:t>
            </w:r>
            <w:r w:rsidRPr="00F171F4">
              <w:rPr>
                <w:rFonts w:ascii="Times New Roman" w:hAnsi="Times New Roman"/>
              </w:rPr>
              <w:t xml:space="preserve">Augmentation     </w:t>
            </w:r>
            <w:r w:rsidRPr="00F171F4">
              <w:rPr>
                <w:rFonts w:ascii="Times New Roman" w:hAnsi="Times New Roman"/>
              </w:rPr>
              <w:sym w:font="Wingdings 2" w:char="F0A3"/>
            </w:r>
            <w:r w:rsidRPr="00F171F4">
              <w:rPr>
                <w:rFonts w:ascii="Times New Roman" w:hAnsi="Times New Roman"/>
              </w:rPr>
              <w:t xml:space="preserve"> Modification     </w:t>
            </w:r>
            <w:r w:rsidR="00223D77" w:rsidRPr="00F171F4">
              <w:rPr>
                <w:rFonts w:ascii="Times New Roman" w:hAnsi="Times New Roman"/>
              </w:rPr>
              <w:sym w:font="Wingdings 2" w:char="F052"/>
            </w:r>
            <w:r w:rsidRPr="00F171F4">
              <w:rPr>
                <w:rFonts w:ascii="Times New Roman" w:hAnsi="Times New Roman"/>
              </w:rPr>
              <w:t xml:space="preserve"> Redéfinition</w:t>
            </w:r>
          </w:p>
        </w:tc>
      </w:tr>
      <w:tr w:rsidR="003545E0" w:rsidRPr="00F171F4" w14:paraId="3CF6F511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</w:tcPr>
          <w:p w14:paraId="405CB754" w14:textId="77777777" w:rsidR="003545E0" w:rsidRPr="00F171F4" w:rsidRDefault="003545E0" w:rsidP="00311285">
            <w:pPr>
              <w:spacing w:before="10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Remarques</w:t>
            </w:r>
          </w:p>
          <w:p w14:paraId="3FD56372" w14:textId="51004C9C" w:rsidR="008B070D" w:rsidRDefault="008B070D" w:rsidP="004B359B">
            <w:pPr>
              <w:spacing w:befor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-Plus-value de l’outil numérique : ce module permet à chacun des élèves, individuellement, de </w:t>
            </w:r>
            <w:r w:rsidR="00877064">
              <w:rPr>
                <w:rFonts w:ascii="Times New Roman" w:hAnsi="Times New Roman"/>
              </w:rPr>
              <w:t>s’entraîner sur un sujet du DNB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477262">
              <w:rPr>
                <w:rFonts w:ascii="Times New Roman" w:hAnsi="Times New Roman"/>
                <w:color w:val="000000"/>
              </w:rPr>
              <w:t xml:space="preserve">râce aux </w:t>
            </w:r>
            <w:r>
              <w:rPr>
                <w:rFonts w:ascii="Times New Roman" w:hAnsi="Times New Roman"/>
                <w:color w:val="000000"/>
              </w:rPr>
              <w:t>« </w:t>
            </w:r>
            <w:r w:rsidRPr="00477262">
              <w:rPr>
                <w:rFonts w:ascii="Times New Roman" w:hAnsi="Times New Roman"/>
                <w:color w:val="000000"/>
              </w:rPr>
              <w:t>parcours conditionnels</w:t>
            </w:r>
            <w:r>
              <w:rPr>
                <w:rFonts w:ascii="Times New Roman" w:hAnsi="Times New Roman"/>
                <w:color w:val="000000"/>
              </w:rPr>
              <w:t> »</w:t>
            </w:r>
            <w:r w:rsidRPr="00477262">
              <w:rPr>
                <w:rFonts w:ascii="Times New Roman" w:hAnsi="Times New Roman"/>
                <w:color w:val="000000"/>
              </w:rPr>
              <w:t>, le module s’adapte aux difficultés rencontrées</w:t>
            </w:r>
            <w:r w:rsidR="00877064">
              <w:rPr>
                <w:rFonts w:ascii="Times New Roman" w:hAnsi="Times New Roman"/>
                <w:color w:val="000000"/>
              </w:rPr>
              <w:t xml:space="preserve"> et propose la remédiation nécessaire.</w:t>
            </w:r>
            <w:r w:rsidRPr="0047726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Il permet alors une meilleure</w:t>
            </w:r>
            <w:r w:rsidR="00415B30">
              <w:rPr>
                <w:rFonts w:ascii="Times New Roman" w:hAnsi="Times New Roman"/>
                <w:color w:val="000000"/>
              </w:rPr>
              <w:t xml:space="preserve"> prise en charge de l’hétérogénéité du public. L’évaluation </w:t>
            </w:r>
            <w:r w:rsidR="00877064">
              <w:rPr>
                <w:rFonts w:ascii="Times New Roman" w:hAnsi="Times New Roman"/>
                <w:color w:val="000000"/>
              </w:rPr>
              <w:t>des acquis de l’élève</w:t>
            </w:r>
            <w:r w:rsidR="00415B30">
              <w:rPr>
                <w:rFonts w:ascii="Times New Roman" w:hAnsi="Times New Roman"/>
                <w:color w:val="000000"/>
              </w:rPr>
              <w:t xml:space="preserve"> est facilitée</w:t>
            </w:r>
            <w:r w:rsidR="00877064">
              <w:rPr>
                <w:rFonts w:ascii="Times New Roman" w:hAnsi="Times New Roman"/>
                <w:color w:val="000000"/>
              </w:rPr>
              <w:t xml:space="preserve"> pour l’enseignant, l’auto-évaluation rendue possible pour l’élève</w:t>
            </w:r>
            <w:r w:rsidR="00415B30">
              <w:rPr>
                <w:rFonts w:ascii="Times New Roman" w:hAnsi="Times New Roman"/>
                <w:color w:val="000000"/>
              </w:rPr>
              <w:t>.</w:t>
            </w:r>
          </w:p>
          <w:p w14:paraId="433D2F08" w14:textId="0E3B850E" w:rsidR="006A7D1F" w:rsidRDefault="006A7D1F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 Ce module peut être réalisé en classe ou à la maison, </w:t>
            </w:r>
            <w:r w:rsidR="00311285">
              <w:rPr>
                <w:rFonts w:ascii="Times New Roman" w:hAnsi="Times New Roman"/>
              </w:rPr>
              <w:t xml:space="preserve">en préparation d’une évaluation de fin de séquence, </w:t>
            </w:r>
            <w:r>
              <w:rPr>
                <w:rFonts w:ascii="Times New Roman" w:hAnsi="Times New Roman"/>
              </w:rPr>
              <w:t xml:space="preserve">dans le cadre de l’AP, dans le dispositif « devoirs faits », dans le cadre d’un parcours de préparation au diplôme national du brevet… </w:t>
            </w:r>
          </w:p>
          <w:p w14:paraId="184417EA" w14:textId="34B386CD" w:rsidR="00477262" w:rsidRPr="00477262" w:rsidRDefault="006A7D1F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La correction, par l’enseignant, </w:t>
            </w:r>
            <w:r w:rsidR="00477262" w:rsidRPr="00477262">
              <w:rPr>
                <w:rFonts w:ascii="Times New Roman" w:hAnsi="Times New Roman"/>
                <w:color w:val="000000"/>
              </w:rPr>
              <w:t xml:space="preserve">des questions ouvertes donne des informations sur la capacité à passer à l'écrit : forme de l'écrit, qualité de l'argumentation... Cela donne des </w:t>
            </w:r>
            <w:r w:rsidRPr="006A7D1F">
              <w:rPr>
                <w:rFonts w:ascii="Times New Roman" w:hAnsi="Times New Roman"/>
                <w:color w:val="000000"/>
              </w:rPr>
              <w:t>éléments d’évaluation pour</w:t>
            </w:r>
            <w:r w:rsidR="00477262" w:rsidRPr="00477262">
              <w:rPr>
                <w:rFonts w:ascii="Times New Roman" w:hAnsi="Times New Roman"/>
                <w:color w:val="000000"/>
              </w:rPr>
              <w:t xml:space="preserve"> la composante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 w:rsidR="00477262" w:rsidRPr="00477262">
              <w:rPr>
                <w:rFonts w:ascii="Times New Roman" w:hAnsi="Times New Roman"/>
                <w:color w:val="000000"/>
              </w:rPr>
              <w:t>du domaine 1</w:t>
            </w:r>
            <w:r w:rsidR="00877064">
              <w:rPr>
                <w:rFonts w:ascii="Times New Roman" w:hAnsi="Times New Roman"/>
                <w:color w:val="000000"/>
              </w:rPr>
              <w:t>.</w:t>
            </w:r>
          </w:p>
          <w:p w14:paraId="07561C0A" w14:textId="02A0EABF" w:rsidR="00477262" w:rsidRDefault="00477262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477262">
              <w:rPr>
                <w:rFonts w:ascii="Times New Roman" w:hAnsi="Times New Roman"/>
                <w:color w:val="000000"/>
              </w:rPr>
              <w:t>- </w:t>
            </w:r>
            <w:r w:rsidR="00DF41A0">
              <w:rPr>
                <w:rFonts w:ascii="Times New Roman" w:hAnsi="Times New Roman"/>
                <w:color w:val="000000"/>
              </w:rPr>
              <w:t>En accédant</w:t>
            </w:r>
            <w:r w:rsidRPr="00477262">
              <w:rPr>
                <w:rFonts w:ascii="Times New Roman" w:hAnsi="Times New Roman"/>
                <w:color w:val="000000"/>
              </w:rPr>
              <w:t xml:space="preserve"> aux résultats, on voit </w:t>
            </w:r>
            <w:r w:rsidR="00DF41A0">
              <w:rPr>
                <w:rFonts w:ascii="Times New Roman" w:hAnsi="Times New Roman"/>
                <w:color w:val="000000"/>
              </w:rPr>
              <w:t>très facilement</w:t>
            </w:r>
            <w:r w:rsidRPr="00477262">
              <w:rPr>
                <w:rFonts w:ascii="Times New Roman" w:hAnsi="Times New Roman"/>
                <w:color w:val="000000"/>
              </w:rPr>
              <w:t xml:space="preserve"> les élèves qui n'ont pas eu besoin de passer par les aides et qui savent résoudre des problèmes ouverts (</w:t>
            </w:r>
            <w:r w:rsidR="00DF41A0">
              <w:rPr>
                <w:rFonts w:ascii="Times New Roman" w:hAnsi="Times New Roman"/>
                <w:color w:val="000000"/>
              </w:rPr>
              <w:t xml:space="preserve">c’est un </w:t>
            </w:r>
            <w:r w:rsidRPr="00477262">
              <w:rPr>
                <w:rFonts w:ascii="Times New Roman" w:hAnsi="Times New Roman"/>
                <w:color w:val="000000"/>
              </w:rPr>
              <w:t>éléme</w:t>
            </w:r>
            <w:r w:rsidR="00DF41A0">
              <w:rPr>
                <w:rFonts w:ascii="Times New Roman" w:hAnsi="Times New Roman"/>
                <w:color w:val="000000"/>
              </w:rPr>
              <w:t>nt important pour l’</w:t>
            </w:r>
            <w:r w:rsidRPr="00477262">
              <w:rPr>
                <w:rFonts w:ascii="Times New Roman" w:hAnsi="Times New Roman"/>
                <w:color w:val="000000"/>
              </w:rPr>
              <w:t xml:space="preserve">évaluation </w:t>
            </w:r>
            <w:r w:rsidR="00DF41A0">
              <w:rPr>
                <w:rFonts w:ascii="Times New Roman" w:hAnsi="Times New Roman"/>
                <w:color w:val="000000"/>
              </w:rPr>
              <w:t>du</w:t>
            </w:r>
            <w:r w:rsidRPr="00477262">
              <w:rPr>
                <w:rFonts w:ascii="Times New Roman" w:hAnsi="Times New Roman"/>
                <w:color w:val="000000"/>
              </w:rPr>
              <w:t xml:space="preserve"> domaine 4). La facilité à utiliser une formule mathématique donne</w:t>
            </w:r>
            <w:r w:rsidR="00DF41A0">
              <w:rPr>
                <w:rFonts w:ascii="Times New Roman" w:hAnsi="Times New Roman"/>
                <w:color w:val="000000"/>
              </w:rPr>
              <w:t>, elle,</w:t>
            </w:r>
            <w:r w:rsidRPr="00477262">
              <w:rPr>
                <w:rFonts w:ascii="Times New Roman" w:hAnsi="Times New Roman"/>
                <w:color w:val="000000"/>
              </w:rPr>
              <w:t xml:space="preserve"> des </w:t>
            </w:r>
            <w:r w:rsidR="00DF41A0">
              <w:rPr>
                <w:rFonts w:ascii="Times New Roman" w:hAnsi="Times New Roman"/>
                <w:color w:val="000000"/>
              </w:rPr>
              <w:t>éléments d’évaluation pour</w:t>
            </w:r>
            <w:r w:rsidRPr="00477262">
              <w:rPr>
                <w:rFonts w:ascii="Times New Roman" w:hAnsi="Times New Roman"/>
                <w:color w:val="000000"/>
              </w:rPr>
              <w:t xml:space="preserve"> </w:t>
            </w:r>
            <w:r w:rsidR="00DF41A0">
              <w:rPr>
                <w:rFonts w:ascii="Times New Roman" w:hAnsi="Times New Roman"/>
                <w:color w:val="000000"/>
              </w:rPr>
              <w:t xml:space="preserve">la </w:t>
            </w:r>
            <w:r w:rsidRPr="00477262">
              <w:rPr>
                <w:rFonts w:ascii="Times New Roman" w:hAnsi="Times New Roman"/>
                <w:color w:val="000000"/>
              </w:rPr>
              <w:t xml:space="preserve">composante 1.3 du domaine 1. </w:t>
            </w:r>
          </w:p>
          <w:p w14:paraId="725A596E" w14:textId="092BC5F0" w:rsidR="009C4593" w:rsidRDefault="009C4593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9C4593">
              <w:rPr>
                <w:rFonts w:ascii="Arial" w:eastAsia="Times New Roman" w:hAnsi="Arial"/>
                <w:sz w:val="20"/>
                <w:szCs w:val="20"/>
                <w:lang w:eastAsia="fr-FR"/>
              </w:rPr>
              <w:t xml:space="preserve"> </w:t>
            </w:r>
            <w:r w:rsidRPr="009C4593">
              <w:rPr>
                <w:rFonts w:ascii="Times New Roman" w:hAnsi="Times New Roman"/>
                <w:color w:val="000000"/>
              </w:rPr>
              <w:t xml:space="preserve">Il faut être </w:t>
            </w:r>
            <w:r>
              <w:rPr>
                <w:rFonts w:ascii="Times New Roman" w:hAnsi="Times New Roman"/>
                <w:color w:val="000000"/>
              </w:rPr>
              <w:t xml:space="preserve">conscient qu’en transformant le sujets </w:t>
            </w:r>
            <w:r w:rsidRPr="009C4593">
              <w:rPr>
                <w:rFonts w:ascii="Times New Roman" w:hAnsi="Times New Roman"/>
                <w:color w:val="000000"/>
              </w:rPr>
              <w:t xml:space="preserve">« papier » en </w:t>
            </w:r>
            <w:r w:rsidR="004B359B">
              <w:rPr>
                <w:rFonts w:ascii="Times New Roman" w:hAnsi="Times New Roman"/>
                <w:color w:val="000000"/>
              </w:rPr>
              <w:t>module « </w:t>
            </w:r>
            <w:proofErr w:type="spellStart"/>
            <w:r w:rsidR="004B359B">
              <w:rPr>
                <w:rFonts w:ascii="Times New Roman" w:hAnsi="Times New Roman"/>
                <w:color w:val="000000"/>
              </w:rPr>
              <w:t>t</w:t>
            </w:r>
            <w:r w:rsidRPr="009C4593">
              <w:rPr>
                <w:rFonts w:ascii="Times New Roman" w:hAnsi="Times New Roman"/>
                <w:color w:val="000000"/>
              </w:rPr>
              <w:t>actiléo</w:t>
            </w:r>
            <w:proofErr w:type="spellEnd"/>
            <w:r w:rsidRPr="009C4593">
              <w:rPr>
                <w:rFonts w:ascii="Times New Roman" w:hAnsi="Times New Roman"/>
                <w:color w:val="000000"/>
              </w:rPr>
              <w:t> », il y a certains éléments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4593">
              <w:rPr>
                <w:rFonts w:ascii="Times New Roman" w:hAnsi="Times New Roman"/>
                <w:color w:val="000000"/>
              </w:rPr>
              <w:t>qui sont moins bien travaillés (par exemple, dans la question « </w:t>
            </w:r>
            <w:r>
              <w:rPr>
                <w:rFonts w:ascii="Times New Roman" w:hAnsi="Times New Roman"/>
                <w:color w:val="000000"/>
              </w:rPr>
              <w:t>Il s’agira de montrer</w:t>
            </w:r>
            <w:r w:rsidRPr="009C4593">
              <w:rPr>
                <w:rFonts w:ascii="Times New Roman" w:hAnsi="Times New Roman"/>
                <w:bCs/>
                <w:color w:val="000000"/>
              </w:rPr>
              <w:t>, par un calcul, que la puissance électrique du réacteur de centrale géothermique est équivalente à celle du réacteur de centrale thermique à flamme.</w:t>
            </w:r>
            <w:r>
              <w:rPr>
                <w:rFonts w:ascii="Times New Roman" w:hAnsi="Times New Roman"/>
                <w:bCs/>
                <w:color w:val="000000"/>
              </w:rPr>
              <w:t> »</w:t>
            </w:r>
            <w:r w:rsidRPr="009C459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la proposition de réponse « je ne sais pas répondre », qui amène vers les aides, peut inciter l’élève à moins questionner et analyser la consigne).</w:t>
            </w:r>
          </w:p>
          <w:p w14:paraId="0C6C9759" w14:textId="734C7D10" w:rsidR="00415B30" w:rsidRPr="00F171F4" w:rsidRDefault="00870787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Pour retrouver ce module : dans la recherche « tout </w:t>
            </w:r>
            <w:proofErr w:type="spellStart"/>
            <w:r>
              <w:rPr>
                <w:rFonts w:ascii="Times New Roman" w:hAnsi="Times New Roman"/>
                <w:color w:val="000000"/>
              </w:rPr>
              <w:t>tactiléo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 », saisir </w:t>
            </w:r>
            <w:r w:rsidR="00877064" w:rsidRPr="00877064">
              <w:rPr>
                <w:rFonts w:ascii="Times New Roman" w:hAnsi="Times New Roman"/>
                <w:color w:val="000000"/>
              </w:rPr>
              <w:t>[PC Créteil] Sujet DNB juin 2017 (partie physique-chimie)</w:t>
            </w:r>
          </w:p>
        </w:tc>
      </w:tr>
    </w:tbl>
    <w:p w14:paraId="35BBC8AD" w14:textId="77777777" w:rsidR="003E76EF" w:rsidRPr="00F171F4" w:rsidRDefault="003E76EF" w:rsidP="004B359B">
      <w:pPr>
        <w:rPr>
          <w:rFonts w:ascii="Times New Roman" w:hAnsi="Times New Roman"/>
        </w:rPr>
      </w:pPr>
    </w:p>
    <w:sectPr w:rsidR="003E76EF" w:rsidRPr="00F171F4" w:rsidSect="00415B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94491D"/>
    <w:multiLevelType w:val="hybridMultilevel"/>
    <w:tmpl w:val="2852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E0"/>
    <w:multiLevelType w:val="hybridMultilevel"/>
    <w:tmpl w:val="F140D164"/>
    <w:lvl w:ilvl="0" w:tplc="BBBE0102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835"/>
    <w:multiLevelType w:val="hybridMultilevel"/>
    <w:tmpl w:val="8C5A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7BA"/>
    <w:multiLevelType w:val="hybridMultilevel"/>
    <w:tmpl w:val="12188DC0"/>
    <w:lvl w:ilvl="0" w:tplc="0A362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23670"/>
    <w:multiLevelType w:val="multilevel"/>
    <w:tmpl w:val="F1C23C0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160F2"/>
    <w:multiLevelType w:val="hybridMultilevel"/>
    <w:tmpl w:val="8870C17C"/>
    <w:lvl w:ilvl="0" w:tplc="70E6B22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D7FAC"/>
    <w:multiLevelType w:val="multilevel"/>
    <w:tmpl w:val="0F8A6770"/>
    <w:lvl w:ilvl="0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282EB1"/>
    <w:multiLevelType w:val="hybridMultilevel"/>
    <w:tmpl w:val="6DF27F18"/>
    <w:lvl w:ilvl="0" w:tplc="93D83A98">
      <w:start w:val="1"/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07CAC"/>
    <w:multiLevelType w:val="hybridMultilevel"/>
    <w:tmpl w:val="C8060562"/>
    <w:lvl w:ilvl="0" w:tplc="BA82BB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0"/>
    <w:rsid w:val="000B5C84"/>
    <w:rsid w:val="000D294B"/>
    <w:rsid w:val="00204F89"/>
    <w:rsid w:val="00223D77"/>
    <w:rsid w:val="00243899"/>
    <w:rsid w:val="00311285"/>
    <w:rsid w:val="003545E0"/>
    <w:rsid w:val="003A1196"/>
    <w:rsid w:val="003E1416"/>
    <w:rsid w:val="003E76EF"/>
    <w:rsid w:val="00415B30"/>
    <w:rsid w:val="00477262"/>
    <w:rsid w:val="004B359B"/>
    <w:rsid w:val="004E0331"/>
    <w:rsid w:val="004E5DC6"/>
    <w:rsid w:val="006A56F8"/>
    <w:rsid w:val="006A7D1F"/>
    <w:rsid w:val="00870787"/>
    <w:rsid w:val="00877064"/>
    <w:rsid w:val="008829BC"/>
    <w:rsid w:val="0089005E"/>
    <w:rsid w:val="008B070D"/>
    <w:rsid w:val="008D51D6"/>
    <w:rsid w:val="008E11AA"/>
    <w:rsid w:val="00993146"/>
    <w:rsid w:val="009B6AB7"/>
    <w:rsid w:val="009C4593"/>
    <w:rsid w:val="009C554C"/>
    <w:rsid w:val="009C5A41"/>
    <w:rsid w:val="00A81891"/>
    <w:rsid w:val="00B71240"/>
    <w:rsid w:val="00BF52F8"/>
    <w:rsid w:val="00D90029"/>
    <w:rsid w:val="00DF24DE"/>
    <w:rsid w:val="00DF41A0"/>
    <w:rsid w:val="00E03B70"/>
    <w:rsid w:val="00E20A1C"/>
    <w:rsid w:val="00E5032D"/>
    <w:rsid w:val="00E65255"/>
    <w:rsid w:val="00E7392B"/>
    <w:rsid w:val="00F171F4"/>
    <w:rsid w:val="00F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F3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45E0"/>
    <w:pPr>
      <w:suppressAutoHyphens/>
      <w:spacing w:after="200"/>
      <w:ind w:left="720"/>
      <w:contextualSpacing/>
    </w:pPr>
    <w:rPr>
      <w:lang w:eastAsia="zh-CN"/>
    </w:rPr>
  </w:style>
  <w:style w:type="character" w:styleId="Lienhypertexte">
    <w:name w:val="Hyperlink"/>
    <w:uiPriority w:val="99"/>
    <w:unhideWhenUsed/>
    <w:rsid w:val="008829BC"/>
    <w:rPr>
      <w:color w:val="0000FF"/>
      <w:u w:val="single"/>
    </w:rPr>
  </w:style>
  <w:style w:type="character" w:customStyle="1" w:styleId="Mentionner1">
    <w:name w:val="Mentionner1"/>
    <w:uiPriority w:val="99"/>
    <w:semiHidden/>
    <w:unhideWhenUsed/>
    <w:rsid w:val="008829B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45E0"/>
    <w:pPr>
      <w:suppressAutoHyphens/>
      <w:spacing w:after="200"/>
      <w:ind w:left="720"/>
      <w:contextualSpacing/>
    </w:pPr>
    <w:rPr>
      <w:lang w:eastAsia="zh-CN"/>
    </w:rPr>
  </w:style>
  <w:style w:type="character" w:styleId="Lienhypertexte">
    <w:name w:val="Hyperlink"/>
    <w:uiPriority w:val="99"/>
    <w:unhideWhenUsed/>
    <w:rsid w:val="008829BC"/>
    <w:rPr>
      <w:color w:val="0000FF"/>
      <w:u w:val="single"/>
    </w:rPr>
  </w:style>
  <w:style w:type="character" w:customStyle="1" w:styleId="Mentionner1">
    <w:name w:val="Mentionner1"/>
    <w:uiPriority w:val="99"/>
    <w:semiHidden/>
    <w:unhideWhenUsed/>
    <w:rsid w:val="008829B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Mercier</dc:creator>
  <cp:lastModifiedBy>rectorat</cp:lastModifiedBy>
  <cp:revision>2</cp:revision>
  <cp:lastPrinted>2017-09-24T16:01:00Z</cp:lastPrinted>
  <dcterms:created xsi:type="dcterms:W3CDTF">2018-12-17T09:26:00Z</dcterms:created>
  <dcterms:modified xsi:type="dcterms:W3CDTF">2018-12-17T09:26:00Z</dcterms:modified>
</cp:coreProperties>
</file>