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F1" w:rsidRDefault="00DE77CD" w:rsidP="00184CE2">
      <w:pPr>
        <w:jc w:val="center"/>
        <w:rPr>
          <w:b/>
          <w:u w:val="single"/>
        </w:rPr>
      </w:pPr>
      <w:r w:rsidRPr="00184CE2">
        <w:rPr>
          <w:b/>
          <w:u w:val="single"/>
        </w:rPr>
        <w:t>Correction</w:t>
      </w:r>
      <w:r w:rsidR="00184CE2" w:rsidRPr="00184CE2">
        <w:rPr>
          <w:b/>
          <w:u w:val="single"/>
        </w:rPr>
        <w:t xml:space="preserve"> activité et commentaires associés</w:t>
      </w:r>
      <w:r w:rsidRPr="00184CE2">
        <w:rPr>
          <w:b/>
          <w:u w:val="single"/>
        </w:rPr>
        <w:t> :</w:t>
      </w:r>
    </w:p>
    <w:p w:rsidR="00184CE2" w:rsidRPr="00184CE2" w:rsidRDefault="00184CE2" w:rsidP="00184CE2">
      <w:pPr>
        <w:rPr>
          <w:color w:val="FF0000"/>
        </w:rPr>
      </w:pPr>
      <w:r>
        <w:rPr>
          <w:color w:val="FF0000"/>
        </w:rPr>
        <w:t>Le choix a été fait de proposer cette activité sous forme d’une série de tâches simples permettant de prolonger le programme de TS en séance d’approfondissement car le but était de revoir différentes notions de chimie organique.</w:t>
      </w:r>
      <w:bookmarkStart w:id="0" w:name="_GoBack"/>
      <w:bookmarkEnd w:id="0"/>
    </w:p>
    <w:p w:rsidR="00DE77CD" w:rsidRDefault="008E5481" w:rsidP="00DE77CD">
      <w:pPr>
        <w:pStyle w:val="Paragraphedeliste"/>
        <w:numPr>
          <w:ilvl w:val="0"/>
          <w:numId w:val="2"/>
        </w:numPr>
      </w:pPr>
      <w:r>
        <w:t>La molécule porte deux groupes carboxyles caractéristiques des acides carboxyliques</w:t>
      </w:r>
      <w:r w:rsidR="00DE77CD">
        <w:t>.</w:t>
      </w:r>
    </w:p>
    <w:p w:rsidR="00DE77CD" w:rsidRDefault="00DE77CD" w:rsidP="00DE77CD">
      <w:pPr>
        <w:pStyle w:val="Paragraphedeliste"/>
        <w:numPr>
          <w:ilvl w:val="0"/>
          <w:numId w:val="2"/>
        </w:numPr>
      </w:pPr>
      <w:r>
        <w:t>Il existe</w:t>
      </w:r>
      <w:r w:rsidR="008E5481">
        <w:t xml:space="preserve"> un </w:t>
      </w:r>
      <w:proofErr w:type="spellStart"/>
      <w:r w:rsidR="008E5481">
        <w:t>stéréoisomère</w:t>
      </w:r>
      <w:proofErr w:type="spellEnd"/>
      <w:r w:rsidR="008E5481">
        <w:t xml:space="preserve"> car </w:t>
      </w:r>
      <w:r>
        <w:t xml:space="preserve">il n’y a pas libre rotation autour de la double liaison carbone </w:t>
      </w:r>
      <w:proofErr w:type="spellStart"/>
      <w:r>
        <w:t>carbone</w:t>
      </w:r>
      <w:proofErr w:type="spellEnd"/>
      <w:r>
        <w:t xml:space="preserve"> (acide maléique)</w:t>
      </w:r>
    </w:p>
    <w:p w:rsidR="00DE77CD" w:rsidRDefault="00DE77CD" w:rsidP="00DE77CD">
      <w:pPr>
        <w:pStyle w:val="Paragraphedeliste"/>
      </w:pPr>
      <w:r>
        <w:rPr>
          <w:noProof/>
          <w:lang w:eastAsia="fr-FR"/>
        </w:rPr>
        <w:drawing>
          <wp:inline distT="0" distB="0" distL="0" distR="0" wp14:anchorId="6E04BD87" wp14:editId="46E7DA48">
            <wp:extent cx="498144" cy="751255"/>
            <wp:effectExtent l="0" t="0" r="0" b="0"/>
            <wp:docPr id="1" name="Image 1" descr="Acide malé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de maléiqu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1848"/>
                    <a:stretch/>
                  </pic:blipFill>
                  <pic:spPr bwMode="auto">
                    <a:xfrm rot="10800000">
                      <a:off x="0" y="0"/>
                      <a:ext cx="497747" cy="750656"/>
                    </a:xfrm>
                    <a:prstGeom prst="rect">
                      <a:avLst/>
                    </a:prstGeom>
                    <a:noFill/>
                    <a:ln>
                      <a:noFill/>
                    </a:ln>
                    <a:extLst>
                      <a:ext uri="{53640926-AAD7-44D8-BBD7-CCE9431645EC}">
                        <a14:shadowObscured xmlns:a14="http://schemas.microsoft.com/office/drawing/2010/main"/>
                      </a:ext>
                    </a:extLst>
                  </pic:spPr>
                </pic:pic>
              </a:graphicData>
            </a:graphic>
          </wp:inline>
        </w:drawing>
      </w:r>
    </w:p>
    <w:p w:rsidR="00DE77CD" w:rsidRDefault="00DE77CD" w:rsidP="00DE77CD">
      <w:pPr>
        <w:pStyle w:val="Paragraphedeliste"/>
      </w:pPr>
    </w:p>
    <w:p w:rsidR="00DE77CD" w:rsidRDefault="0071590E" w:rsidP="0071590E">
      <w:pPr>
        <w:pStyle w:val="Paragraphedeliste"/>
        <w:numPr>
          <w:ilvl w:val="0"/>
          <w:numId w:val="2"/>
        </w:numPr>
      </w:pPr>
      <w:r>
        <w:t>On attend ici la justification du « E » et des indices 2, 1 et 4.</w:t>
      </w:r>
    </w:p>
    <w:p w:rsidR="00BA2907" w:rsidRDefault="00BA2907" w:rsidP="00DE77CD">
      <w:pPr>
        <w:pStyle w:val="Paragraphedeliste"/>
        <w:numPr>
          <w:ilvl w:val="0"/>
          <w:numId w:val="2"/>
        </w:numPr>
      </w:pPr>
      <w:r>
        <w:t>pH=3,5 donc l’acide fumarique se trouve sous la forme AH</w:t>
      </w:r>
      <w:r>
        <w:rPr>
          <w:vertAlign w:val="superscript"/>
        </w:rPr>
        <w:t>-</w:t>
      </w:r>
      <w:r w:rsidR="0071590E">
        <w:t xml:space="preserve"> </w:t>
      </w:r>
      <w:proofErr w:type="gramStart"/>
      <w:r w:rsidR="0071590E">
        <w:t>(</w:t>
      </w:r>
      <w:r>
        <w:t xml:space="preserve"> Le</w:t>
      </w:r>
      <w:proofErr w:type="gramEnd"/>
      <w:r>
        <w:t xml:space="preserve"> pH est compris entre pKa</w:t>
      </w:r>
      <w:r>
        <w:rPr>
          <w:vertAlign w:val="subscript"/>
        </w:rPr>
        <w:t xml:space="preserve">1 </w:t>
      </w:r>
      <w:r>
        <w:t>et pKa</w:t>
      </w:r>
      <w:r>
        <w:rPr>
          <w:vertAlign w:val="subscript"/>
        </w:rPr>
        <w:t>2</w:t>
      </w:r>
      <w:r w:rsidR="0071590E">
        <w:t>)</w:t>
      </w:r>
      <w:r>
        <w:t>.</w:t>
      </w:r>
      <w:r w:rsidR="0071590E">
        <w:rPr>
          <w:color w:val="FF0000"/>
        </w:rPr>
        <w:t xml:space="preserve"> Cette question constitue un prolongement du programme de TS vers l’année de L1.</w:t>
      </w:r>
    </w:p>
    <w:p w:rsidR="00A52DC4" w:rsidRDefault="00A52DC4" w:rsidP="00A52DC4">
      <w:pPr>
        <w:pStyle w:val="Paragraphedeliste"/>
        <w:numPr>
          <w:ilvl w:val="0"/>
          <w:numId w:val="2"/>
        </w:numPr>
      </w:pPr>
      <w:r>
        <w:t>5.1. Un acide est une espèce chimique susceptible de céder un proton.</w:t>
      </w:r>
    </w:p>
    <w:p w:rsidR="00A52DC4" w:rsidRPr="0071590E" w:rsidRDefault="00A52DC4" w:rsidP="00A52DC4">
      <w:pPr>
        <w:pStyle w:val="Paragraphedeliste"/>
        <w:rPr>
          <w:color w:val="FF0000"/>
        </w:rPr>
      </w:pPr>
      <w:r>
        <w:t xml:space="preserve">5.2. </w:t>
      </w:r>
      <w:r w:rsidR="0071590E">
        <w:t>On peut attendre la réponse : « </w:t>
      </w:r>
      <w:r>
        <w:t>L’acide fumarique est un diacide</w:t>
      </w:r>
      <w:r w:rsidR="0071590E">
        <w:t xml:space="preserve"> car il est susceptible de céder deux protons ». </w:t>
      </w:r>
      <w:r w:rsidR="0071590E">
        <w:rPr>
          <w:color w:val="FF0000"/>
        </w:rPr>
        <w:t>Cette question constitue également un prolongement du programme de TS.</w:t>
      </w:r>
    </w:p>
    <w:p w:rsidR="00A52DC4" w:rsidRDefault="00A52DC4" w:rsidP="00A52DC4">
      <w:pPr>
        <w:pStyle w:val="Paragraphedeliste"/>
        <w:rPr>
          <w:rFonts w:eastAsiaTheme="minorEastAsia"/>
        </w:rPr>
      </w:pPr>
      <w:r>
        <w:t xml:space="preserve">5.3. </w:t>
      </w:r>
      <w:r w:rsidR="003C53D9">
        <w:t>La concentration est C</w:t>
      </w:r>
      <w:r w:rsidR="003C53D9">
        <w:rPr>
          <w:vertAlign w:val="subscript"/>
        </w:rPr>
        <w:t>A</w:t>
      </w:r>
      <w:r w:rsidR="003C53D9">
        <w:t>=</w:t>
      </w:r>
      <m:oMath>
        <m:f>
          <m:fPr>
            <m:ctrlPr>
              <w:rPr>
                <w:rFonts w:ascii="Cambria Math" w:hAnsi="Cambria Math"/>
                <w:i/>
              </w:rPr>
            </m:ctrlPr>
          </m:fPr>
          <m:num>
            <m:r>
              <w:rPr>
                <w:rFonts w:ascii="Cambria Math" w:hAnsi="Cambria Math"/>
              </w:rPr>
              <m:t>0,250</m:t>
            </m:r>
          </m:num>
          <m:den>
            <m:r>
              <w:rPr>
                <w:rFonts w:ascii="Cambria Math" w:hAnsi="Cambria Math"/>
              </w:rPr>
              <m:t>0,100×116</m:t>
            </m:r>
          </m:den>
        </m:f>
      </m:oMath>
      <w:r w:rsidR="003C53D9">
        <w:rPr>
          <w:rFonts w:eastAsiaTheme="minorEastAsia"/>
        </w:rPr>
        <w:t>=2,16×10</w:t>
      </w:r>
      <w:r w:rsidR="003C53D9">
        <w:rPr>
          <w:rFonts w:eastAsiaTheme="minorEastAsia"/>
          <w:vertAlign w:val="superscript"/>
        </w:rPr>
        <w:t>-2</w:t>
      </w:r>
      <w:r w:rsidR="003C53D9">
        <w:rPr>
          <w:rFonts w:eastAsiaTheme="minorEastAsia"/>
        </w:rPr>
        <w:t xml:space="preserve"> mol.L</w:t>
      </w:r>
      <w:r w:rsidR="003C53D9">
        <w:rPr>
          <w:rFonts w:eastAsiaTheme="minorEastAsia"/>
          <w:vertAlign w:val="superscript"/>
        </w:rPr>
        <w:t>-1</w:t>
      </w:r>
      <w:r w:rsidR="003C53D9">
        <w:rPr>
          <w:rFonts w:eastAsiaTheme="minorEastAsia"/>
        </w:rPr>
        <w:t>.</w:t>
      </w:r>
    </w:p>
    <w:p w:rsidR="003C53D9" w:rsidRPr="0071590E" w:rsidRDefault="003C53D9" w:rsidP="00A52DC4">
      <w:pPr>
        <w:pStyle w:val="Paragraphedeliste"/>
        <w:rPr>
          <w:rFonts w:eastAsiaTheme="minorEastAsia"/>
          <w:color w:val="FF0000"/>
        </w:rPr>
      </w:pPr>
      <w:r>
        <w:rPr>
          <w:rFonts w:eastAsiaTheme="minorEastAsia"/>
          <w:noProof/>
          <w:lang w:eastAsia="fr-FR"/>
        </w:rPr>
        <mc:AlternateContent>
          <mc:Choice Requires="wps">
            <w:drawing>
              <wp:anchor distT="0" distB="0" distL="114300" distR="114300" simplePos="0" relativeHeight="251660288" behindDoc="0" locked="0" layoutInCell="1" allowOverlap="1">
                <wp:simplePos x="0" y="0"/>
                <wp:positionH relativeFrom="column">
                  <wp:posOffset>1495387</wp:posOffset>
                </wp:positionH>
                <wp:positionV relativeFrom="paragraph">
                  <wp:posOffset>179146</wp:posOffset>
                </wp:positionV>
                <wp:extent cx="272415" cy="6824"/>
                <wp:effectExtent l="38100" t="76200" r="0" b="107950"/>
                <wp:wrapNone/>
                <wp:docPr id="3" name="Connecteur droit avec flèche 3"/>
                <wp:cNvGraphicFramePr/>
                <a:graphic xmlns:a="http://schemas.openxmlformats.org/drawingml/2006/main">
                  <a:graphicData uri="http://schemas.microsoft.com/office/word/2010/wordprocessingShape">
                    <wps:wsp>
                      <wps:cNvCnPr/>
                      <wps:spPr>
                        <a:xfrm flipH="1">
                          <a:off x="0" y="0"/>
                          <a:ext cx="272415"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117.75pt;margin-top:14.1pt;width:21.45pt;height:.5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hh5gEAAA4EAAAOAAAAZHJzL2Uyb0RvYy54bWysU9uO0zAQfUfiHyy/07TZZVlVTfehy+UB&#10;QcXlA7zOuLHkm8bepPkj/oMfY+ykAQFCAvFi2R6fM3POjHd3Z2tYDxi1dw3frNacgZO+1e7U8M+f&#10;Xj275Swm4VphvIOGjxD53f7pk90QtlD7zpsWkBGJi9shNLxLKWyrKsoOrIgrH8BRUHm0ItERT1WL&#10;YiB2a6p6vb6pBo9tQC8hRrq9n4J8X/iVApneKxUhMdNwqi2VFcv6kNdqvxPbE4rQaTmXIf6hCiu0&#10;o6QL1b1Igj2i/oXKaok+epVW0tvKK6UlFA2kZrP+Sc3HTgQoWsicGBab4v+jle/6IzLdNvyKMycs&#10;tejgnSPf4BFZi14nJnqQTJmvX6gp7CpbNoS4JeTBHXE+xXDErP+s0NJbHd7QNBRHSCM7F8PHxXA4&#10;Jybpsn5RX2+ecyYpdHNbX2fuaiLJZAFjeg3esrxpeEwo9KlLc4EepwSifxvTBLwAMti4vCahzUvX&#10;sjQGkiYQ/TAnyfEqC5lKL7s0GpiwH0CRK1TilKPMIxwMsl7QJAkpwaXNwkSvM0xpYxbguqj/I3B+&#10;n6FQZvVvwAuiZPYuLWCrncffZU/nS8lqen9xYNKdLXjw7ViaWqyhoSsNmT9InuofzwX+/RvvvwEA&#10;AP//AwBQSwMEFAAGAAgAAAAhAKJFMwjdAAAACQEAAA8AAABkcnMvZG93bnJldi54bWxMj8FOwzAM&#10;hu9IvENkJG4spWNbKU2nMgGaxInCA2SNaaslTtVka/f2mBPcfsuffn8utrOz4oxj6D0puF8kIJAa&#10;b3pqFXx9vt5lIELUZLT1hAouGGBbXl8VOjd+og8817EVXEIh1wq6GIdcytB06HRY+AGJd99+dDry&#10;OLbSjHricmdlmiRr6XRPfKHTA+46bI71ySmoMvlOx8tuE+p9szZ2ml/eqmelbm/m6glExDn+wfCr&#10;z+pQstPBn8gEYRWky9WKUQ5ZCoKBdJM9gDhweFyCLAv5/4PyBwAA//8DAFBLAQItABQABgAIAAAA&#10;IQC2gziS/gAAAOEBAAATAAAAAAAAAAAAAAAAAAAAAABbQ29udGVudF9UeXBlc10ueG1sUEsBAi0A&#10;FAAGAAgAAAAhADj9If/WAAAAlAEAAAsAAAAAAAAAAAAAAAAALwEAAF9yZWxzLy5yZWxzUEsBAi0A&#10;FAAGAAgAAAAhAP2DCGHmAQAADgQAAA4AAAAAAAAAAAAAAAAALgIAAGRycy9lMm9Eb2MueG1sUEsB&#10;Ai0AFAAGAAgAAAAhAKJFMwjdAAAACQEAAA8AAAAAAAAAAAAAAAAAQAQAAGRycy9kb3ducmV2Lnht&#10;bFBLBQYAAAAABAAEAPMAAABKBQAAAAA=&#10;" strokecolor="#4579b8 [3044]">
                <v:stroke endarrow="open"/>
              </v:shape>
            </w:pict>
          </mc:Fallback>
        </mc:AlternateContent>
      </w:r>
      <w:r>
        <w:rPr>
          <w:rFonts w:eastAsiaTheme="minorEastAsia"/>
          <w:noProof/>
          <w:lang w:eastAsia="fr-FR"/>
        </w:rPr>
        <mc:AlternateContent>
          <mc:Choice Requires="wps">
            <w:drawing>
              <wp:anchor distT="0" distB="0" distL="114300" distR="114300" simplePos="0" relativeHeight="251659264" behindDoc="0" locked="0" layoutInCell="1" allowOverlap="1" wp14:anchorId="2A120E60" wp14:editId="11BE3DAA">
                <wp:simplePos x="0" y="0"/>
                <wp:positionH relativeFrom="column">
                  <wp:posOffset>1494790</wp:posOffset>
                </wp:positionH>
                <wp:positionV relativeFrom="paragraph">
                  <wp:posOffset>69215</wp:posOffset>
                </wp:positionV>
                <wp:extent cx="272415" cy="0"/>
                <wp:effectExtent l="0" t="76200" r="13335" b="114300"/>
                <wp:wrapNone/>
                <wp:docPr id="2" name="Connecteur droit avec flèche 2"/>
                <wp:cNvGraphicFramePr/>
                <a:graphic xmlns:a="http://schemas.openxmlformats.org/drawingml/2006/main">
                  <a:graphicData uri="http://schemas.microsoft.com/office/word/2010/wordprocessingShape">
                    <wps:wsp>
                      <wps:cNvCnPr/>
                      <wps:spPr>
                        <a:xfrm flipV="1">
                          <a:off x="0" y="0"/>
                          <a:ext cx="2724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 o:spid="_x0000_s1026" type="#_x0000_t32" style="position:absolute;margin-left:117.7pt;margin-top:5.45pt;width:21.4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nG4AEAAAsEAAAOAAAAZHJzL2Uyb0RvYy54bWysU8uOEzEQvCPxD5bvZJIRL0WZ7CELXBBE&#10;sHD3etoZS36p3ZtJ/oj/4Mdoe5IBAUICcbH86CpXldubm5N34giYbQydXC2WUkDQsbfh0MlPd6+f&#10;vJQikwq9cjFAJ8+Q5c328aPNmNbQxiG6HlAwScjrMXVyIErrpsl6AK/yIiYIfGgiekW8xEPToxqZ&#10;3bumXS6fN2PEPmHUkDPv3k6Hclv5jQFN743JQMJ1krVRHbGO92Vsthu1PqBKg9UXGeofVHhlA186&#10;U90qUuIB7S9U3mqMORpa6OibaIzVUD2wm9XyJzcfB5WgeuFwcppjyv+PVr877lHYvpOtFEF5fqJd&#10;DIFzgwcUPUZLQh1BC+O+fuFHEW2JbEx5zchd2ONlldMei/+TQc+1Nn3mbqiJsEdxqoGf58DhRELz&#10;Zvuifbp6JoW+HjUTQ2FKmOkNRC/KpJOZUNnDQBd1ESd2dXybiTUw8AooYBfKSMq6V6EXdE7sSyHG&#10;sajn2nLeFBeT7jqjs4MJ+wEMR8L6pjtqM8LOoTgqbiOlNQRazUxcXWDGOjcDl9X6H4GX+gKF2qh/&#10;A54R9eYYaAZ7GyL+7nY6XSWbqf6awOS7RHAf+3N90RoNd1zN6vI7Skv/uK7w7394+w0AAP//AwBQ&#10;SwMEFAAGAAgAAAAhAOwod4vcAAAACQEAAA8AAABkcnMvZG93bnJldi54bWxMj8FOwzAMhu9IvENk&#10;JG4spYOtlKZTmQBN4kThAbLGtNUSp2qytXt7jDjA0f4//f5cbGZnxQnH0HtScLtIQCA13vTUKvj8&#10;eLnJQISoyWjrCRWcMcCmvLwodG78RO94qmMruIRCrhV0MQ65lKHp0Omw8AMSZ19+dDryOLbSjHri&#10;cmdlmiQr6XRPfKHTA247bA710SmoMvlGh/N2HepdszJ2mp9fqyelrq/m6hFExDn+wfCjz+pQstPe&#10;H8kEYRWky/s7RjlIHkAwkK6zJYj970KWhfz/QfkNAAD//wMAUEsBAi0AFAAGAAgAAAAhALaDOJL+&#10;AAAA4QEAABMAAAAAAAAAAAAAAAAAAAAAAFtDb250ZW50X1R5cGVzXS54bWxQSwECLQAUAAYACAAA&#10;ACEAOP0h/9YAAACUAQAACwAAAAAAAAAAAAAAAAAvAQAAX3JlbHMvLnJlbHNQSwECLQAUAAYACAAA&#10;ACEALwZJxuABAAALBAAADgAAAAAAAAAAAAAAAAAuAgAAZHJzL2Uyb0RvYy54bWxQSwECLQAUAAYA&#10;CAAAACEA7Ch3i9wAAAAJAQAADwAAAAAAAAAAAAAAAAA6BAAAZHJzL2Rvd25yZXYueG1sUEsFBgAA&#10;AAAEAAQA8wAAAEMFAAAAAA==&#10;" strokecolor="#4579b8 [3044]">
                <v:stroke endarrow="open"/>
              </v:shape>
            </w:pict>
          </mc:Fallback>
        </mc:AlternateContent>
      </w:r>
      <w:r>
        <w:rPr>
          <w:rFonts w:eastAsiaTheme="minorEastAsia"/>
        </w:rPr>
        <w:t>5.4.  H</w:t>
      </w:r>
      <w:r>
        <w:rPr>
          <w:rFonts w:eastAsiaTheme="minorEastAsia"/>
          <w:vertAlign w:val="subscript"/>
        </w:rPr>
        <w:t>2</w:t>
      </w:r>
      <w:r>
        <w:rPr>
          <w:rFonts w:eastAsiaTheme="minorEastAsia"/>
        </w:rPr>
        <w:t>A  +  2H</w:t>
      </w:r>
      <w:r>
        <w:rPr>
          <w:rFonts w:eastAsiaTheme="minorEastAsia"/>
          <w:vertAlign w:val="subscript"/>
        </w:rPr>
        <w:t>2</w:t>
      </w:r>
      <w:r>
        <w:rPr>
          <w:rFonts w:eastAsiaTheme="minorEastAsia"/>
        </w:rPr>
        <w:t>0              A</w:t>
      </w:r>
      <w:r>
        <w:rPr>
          <w:rFonts w:eastAsiaTheme="minorEastAsia"/>
          <w:vertAlign w:val="superscript"/>
        </w:rPr>
        <w:t>2-</w:t>
      </w:r>
      <w:r>
        <w:rPr>
          <w:rFonts w:eastAsiaTheme="minorEastAsia"/>
        </w:rPr>
        <w:t xml:space="preserve">  + 2H</w:t>
      </w:r>
      <w:r>
        <w:rPr>
          <w:rFonts w:eastAsiaTheme="minorEastAsia"/>
          <w:vertAlign w:val="subscript"/>
        </w:rPr>
        <w:t>3</w:t>
      </w:r>
      <w:r>
        <w:rPr>
          <w:rFonts w:eastAsiaTheme="minorEastAsia"/>
        </w:rPr>
        <w:t>O</w:t>
      </w:r>
      <w:r>
        <w:rPr>
          <w:rFonts w:eastAsiaTheme="minorEastAsia"/>
          <w:vertAlign w:val="superscript"/>
        </w:rPr>
        <w:t>+</w:t>
      </w:r>
      <w:r w:rsidR="0071590E">
        <w:rPr>
          <w:rFonts w:eastAsiaTheme="minorEastAsia"/>
        </w:rPr>
        <w:t xml:space="preserve"> </w:t>
      </w:r>
      <w:r w:rsidR="0071590E">
        <w:rPr>
          <w:rFonts w:eastAsiaTheme="minorEastAsia"/>
          <w:color w:val="FF0000"/>
        </w:rPr>
        <w:t xml:space="preserve"> Une aide ponctuelle du professeur peut être nécessaire pour traiter cette question.</w:t>
      </w:r>
    </w:p>
    <w:p w:rsidR="003C53D9" w:rsidRDefault="005C6066" w:rsidP="00A52DC4">
      <w:pPr>
        <w:pStyle w:val="Paragraphedeliste"/>
        <w:rPr>
          <w:rFonts w:eastAsiaTheme="minorEastAsia"/>
        </w:rPr>
      </w:pPr>
      <w:r>
        <w:rPr>
          <w:rFonts w:eastAsiaTheme="minorEastAsia"/>
        </w:rPr>
        <w:t>5.5.</w:t>
      </w:r>
      <w:r w:rsidR="001D4302">
        <w:rPr>
          <w:rFonts w:eastAsiaTheme="minorEastAsia"/>
        </w:rPr>
        <w:t xml:space="preserve"> On peut attendre la réponse suivante : </w:t>
      </w:r>
      <w:r>
        <w:rPr>
          <w:rFonts w:eastAsiaTheme="minorEastAsia"/>
        </w:rPr>
        <w:t>Le pH est 2,4 donc [H</w:t>
      </w:r>
      <w:r>
        <w:rPr>
          <w:rFonts w:eastAsiaTheme="minorEastAsia"/>
          <w:vertAlign w:val="subscript"/>
        </w:rPr>
        <w:t>3</w:t>
      </w:r>
      <w:r>
        <w:rPr>
          <w:rFonts w:eastAsiaTheme="minorEastAsia"/>
        </w:rPr>
        <w:t>O</w:t>
      </w:r>
      <w:r>
        <w:rPr>
          <w:rFonts w:eastAsiaTheme="minorEastAsia"/>
          <w:vertAlign w:val="superscript"/>
        </w:rPr>
        <w:t>+</w:t>
      </w:r>
      <w:r>
        <w:rPr>
          <w:rFonts w:eastAsiaTheme="minorEastAsia"/>
        </w:rPr>
        <w:t>]=4,0×10</w:t>
      </w:r>
      <w:r>
        <w:rPr>
          <w:rFonts w:eastAsiaTheme="minorEastAsia"/>
          <w:vertAlign w:val="superscript"/>
        </w:rPr>
        <w:t>-3</w:t>
      </w:r>
      <w:r>
        <w:rPr>
          <w:rFonts w:eastAsiaTheme="minorEastAsia"/>
        </w:rPr>
        <w:t xml:space="preserve"> mol.L</w:t>
      </w:r>
      <w:r>
        <w:rPr>
          <w:rFonts w:eastAsiaTheme="minorEastAsia"/>
          <w:vertAlign w:val="superscript"/>
        </w:rPr>
        <w:t>-1</w:t>
      </w:r>
      <w:r>
        <w:rPr>
          <w:rFonts w:eastAsiaTheme="minorEastAsia"/>
        </w:rPr>
        <w:t>. Si l’acide fumarique était un acide fort, d’après l’équation chimique, la concentration en ions H</w:t>
      </w:r>
      <w:r>
        <w:rPr>
          <w:rFonts w:eastAsiaTheme="minorEastAsia"/>
          <w:vertAlign w:val="subscript"/>
        </w:rPr>
        <w:t>3</w:t>
      </w:r>
      <w:r>
        <w:rPr>
          <w:rFonts w:eastAsiaTheme="minorEastAsia"/>
        </w:rPr>
        <w:t>O</w:t>
      </w:r>
      <w:r>
        <w:rPr>
          <w:rFonts w:eastAsiaTheme="minorEastAsia"/>
          <w:vertAlign w:val="superscript"/>
        </w:rPr>
        <w:t>+</w:t>
      </w:r>
      <w:r>
        <w:rPr>
          <w:rFonts w:eastAsiaTheme="minorEastAsia"/>
        </w:rPr>
        <w:t xml:space="preserve"> devrait être 4,3×10</w:t>
      </w:r>
      <w:r>
        <w:rPr>
          <w:rFonts w:eastAsiaTheme="minorEastAsia"/>
          <w:vertAlign w:val="superscript"/>
        </w:rPr>
        <w:t>-2</w:t>
      </w:r>
      <w:r>
        <w:rPr>
          <w:rFonts w:eastAsiaTheme="minorEastAsia"/>
        </w:rPr>
        <w:t>mol.L</w:t>
      </w:r>
      <w:r>
        <w:rPr>
          <w:rFonts w:eastAsiaTheme="minorEastAsia"/>
          <w:vertAlign w:val="superscript"/>
        </w:rPr>
        <w:t>-1</w:t>
      </w:r>
      <w:r>
        <w:rPr>
          <w:rFonts w:eastAsiaTheme="minorEastAsia"/>
        </w:rPr>
        <w:t>. L’acide fumarique est donc un acide faible.</w:t>
      </w:r>
    </w:p>
    <w:p w:rsidR="005C6066" w:rsidRPr="00DD6766" w:rsidRDefault="00DD6766" w:rsidP="005C6066">
      <w:pPr>
        <w:pStyle w:val="Paragraphedeliste"/>
        <w:numPr>
          <w:ilvl w:val="0"/>
          <w:numId w:val="2"/>
        </w:numPr>
      </w:pPr>
      <w:r>
        <w:t>6.1. D</w:t>
      </w:r>
      <w:r w:rsidR="005C6066">
        <w:t>’après la courbe, le volume de solution de soude versé à l’équivalence est 8,8mL. La concentration C</w:t>
      </w:r>
      <w:r w:rsidR="005C6066">
        <w:rPr>
          <w:vertAlign w:val="subscript"/>
        </w:rPr>
        <w:t xml:space="preserve">A </w:t>
      </w:r>
      <w:r w:rsidR="005C6066">
        <w:t>est donc C</w:t>
      </w:r>
      <w:r w:rsidR="005C6066">
        <w:rPr>
          <w:vertAlign w:val="subscript"/>
        </w:rPr>
        <w:t>A</w:t>
      </w:r>
      <w:r w:rsidR="005C6066">
        <w:t xml:space="preserve">= </w:t>
      </w:r>
      <m:oMath>
        <m:f>
          <m:fPr>
            <m:ctrlPr>
              <w:rPr>
                <w:rFonts w:ascii="Cambria Math" w:hAnsi="Cambria Math"/>
                <w:i/>
              </w:rPr>
            </m:ctrlPr>
          </m:fPr>
          <m:num>
            <m:r>
              <w:rPr>
                <w:rFonts w:ascii="Cambria Math" w:hAnsi="Cambria Math"/>
              </w:rPr>
              <m:t>8,8×5,0×</m:t>
            </m:r>
            <m:sSup>
              <m:sSupPr>
                <m:ctrlPr>
                  <w:rPr>
                    <w:rFonts w:ascii="Cambria Math" w:hAnsi="Cambria Math"/>
                    <w:i/>
                  </w:rPr>
                </m:ctrlPr>
              </m:sSupPr>
              <m:e>
                <m:r>
                  <w:rPr>
                    <w:rFonts w:ascii="Cambria Math" w:hAnsi="Cambria Math"/>
                  </w:rPr>
                  <m:t>10</m:t>
                </m:r>
              </m:e>
              <m:sup>
                <m:r>
                  <w:rPr>
                    <w:rFonts w:ascii="Cambria Math" w:hAnsi="Cambria Math"/>
                  </w:rPr>
                  <m:t>-2</m:t>
                </m:r>
              </m:sup>
            </m:sSup>
          </m:num>
          <m:den>
            <m:r>
              <w:rPr>
                <w:rFonts w:ascii="Cambria Math" w:hAnsi="Cambria Math"/>
              </w:rPr>
              <m:t>2×10,0</m:t>
            </m:r>
          </m:den>
        </m:f>
      </m:oMath>
      <w:r>
        <w:rPr>
          <w:rFonts w:eastAsiaTheme="minorEastAsia"/>
        </w:rPr>
        <w:t>=2,2×10</w:t>
      </w:r>
      <w:r>
        <w:rPr>
          <w:rFonts w:eastAsiaTheme="minorEastAsia"/>
          <w:vertAlign w:val="superscript"/>
        </w:rPr>
        <w:t>-2</w:t>
      </w:r>
      <w:r>
        <w:rPr>
          <w:rFonts w:eastAsiaTheme="minorEastAsia"/>
        </w:rPr>
        <w:t xml:space="preserve"> mol.L</w:t>
      </w:r>
      <w:r>
        <w:rPr>
          <w:rFonts w:eastAsiaTheme="minorEastAsia"/>
          <w:vertAlign w:val="superscript"/>
        </w:rPr>
        <w:t>-1</w:t>
      </w:r>
      <w:r>
        <w:rPr>
          <w:rFonts w:eastAsiaTheme="minorEastAsia"/>
        </w:rPr>
        <w:t>.</w:t>
      </w:r>
    </w:p>
    <w:p w:rsidR="00DD6766" w:rsidRDefault="00DD6766" w:rsidP="00DD6766">
      <w:pPr>
        <w:pStyle w:val="Paragraphedeliste"/>
        <w:rPr>
          <w:rFonts w:eastAsiaTheme="minorEastAsia"/>
        </w:rPr>
      </w:pPr>
      <w:r>
        <w:rPr>
          <w:rFonts w:eastAsiaTheme="minorEastAsia"/>
        </w:rPr>
        <w:t>6.2. Le pourcentage d’écart par rapport à la valeur calculée précédemment est 2,1%. On peut donc dire que la valeur déterminée grâce au dosage est en accord avec la valeur calculée.</w:t>
      </w:r>
    </w:p>
    <w:p w:rsidR="00DD6766" w:rsidRDefault="00DD6766" w:rsidP="00DD6766">
      <w:pPr>
        <w:pStyle w:val="Paragraphedeliste"/>
      </w:pPr>
      <w:r>
        <w:t>6.3. Compte tenu de la DJA, le volume que peut boire une personne de 60kg est :</w:t>
      </w:r>
    </w:p>
    <w:p w:rsidR="00DD6766" w:rsidRDefault="00DD6766" w:rsidP="00DD6766">
      <w:pPr>
        <w:pStyle w:val="Paragraphedeliste"/>
        <w:rPr>
          <w:rFonts w:eastAsiaTheme="minorEastAsia"/>
        </w:rPr>
      </w:pPr>
      <w:r>
        <w:t xml:space="preserve">  V=    </w:t>
      </w:r>
      <m:oMath>
        <m:f>
          <m:fPr>
            <m:ctrlPr>
              <w:rPr>
                <w:rFonts w:ascii="Cambria Math" w:hAnsi="Cambria Math"/>
                <w:i/>
              </w:rPr>
            </m:ctrlPr>
          </m:fPr>
          <m:num>
            <m:r>
              <w:rPr>
                <w:rFonts w:ascii="Cambria Math" w:hAnsi="Cambria Math"/>
              </w:rPr>
              <m:t>60×6×</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116×2,2×</m:t>
            </m:r>
            <m:sSup>
              <m:sSupPr>
                <m:ctrlPr>
                  <w:rPr>
                    <w:rFonts w:ascii="Cambria Math" w:hAnsi="Cambria Math"/>
                    <w:i/>
                  </w:rPr>
                </m:ctrlPr>
              </m:sSupPr>
              <m:e>
                <m:r>
                  <w:rPr>
                    <w:rFonts w:ascii="Cambria Math" w:hAnsi="Cambria Math"/>
                  </w:rPr>
                  <m:t>10</m:t>
                </m:r>
              </m:e>
              <m:sup>
                <m:r>
                  <w:rPr>
                    <w:rFonts w:ascii="Cambria Math" w:hAnsi="Cambria Math"/>
                  </w:rPr>
                  <m:t>-2</m:t>
                </m:r>
              </m:sup>
            </m:sSup>
          </m:den>
        </m:f>
      </m:oMath>
      <w:r>
        <w:rPr>
          <w:rFonts w:eastAsiaTheme="minorEastAsia"/>
        </w:rPr>
        <w:t xml:space="preserve">  =0,14L.</w:t>
      </w:r>
    </w:p>
    <w:p w:rsidR="001D4302" w:rsidRPr="00DD6766" w:rsidRDefault="001D4302" w:rsidP="00DD6766">
      <w:pPr>
        <w:pStyle w:val="Paragraphedeliste"/>
      </w:pPr>
      <w:r>
        <w:t xml:space="preserve">Cette quantité ne correspond même pas à la contenance d’un verre, ce qui est très peu. Il faudrait donc boire très peu de cette </w:t>
      </w:r>
      <w:r w:rsidR="00184CE2">
        <w:t>boisson pour atteindre la DJA.</w:t>
      </w:r>
    </w:p>
    <w:p w:rsidR="00DD6766" w:rsidRPr="005C6066" w:rsidRDefault="00DD6766" w:rsidP="00DD6766">
      <w:pPr>
        <w:pStyle w:val="Paragraphedeliste"/>
      </w:pPr>
    </w:p>
    <w:p w:rsidR="00A52DC4" w:rsidRDefault="00A52DC4" w:rsidP="00A52DC4">
      <w:pPr>
        <w:pStyle w:val="Paragraphedeliste"/>
      </w:pPr>
    </w:p>
    <w:sectPr w:rsidR="00A52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417A2"/>
    <w:multiLevelType w:val="hybridMultilevel"/>
    <w:tmpl w:val="2A4057C6"/>
    <w:lvl w:ilvl="0" w:tplc="28F6CB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011C67"/>
    <w:multiLevelType w:val="hybridMultilevel"/>
    <w:tmpl w:val="409AA372"/>
    <w:lvl w:ilvl="0" w:tplc="28F6CB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32"/>
    <w:rsid w:val="00184CE2"/>
    <w:rsid w:val="001D4302"/>
    <w:rsid w:val="003C53D9"/>
    <w:rsid w:val="005C6066"/>
    <w:rsid w:val="0071590E"/>
    <w:rsid w:val="008E5481"/>
    <w:rsid w:val="00980A32"/>
    <w:rsid w:val="009C27F1"/>
    <w:rsid w:val="00A52DC4"/>
    <w:rsid w:val="00BA2907"/>
    <w:rsid w:val="00DD6766"/>
    <w:rsid w:val="00DE7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7CD"/>
    <w:pPr>
      <w:ind w:left="720"/>
      <w:contextualSpacing/>
    </w:pPr>
  </w:style>
  <w:style w:type="paragraph" w:styleId="Textedebulles">
    <w:name w:val="Balloon Text"/>
    <w:basedOn w:val="Normal"/>
    <w:link w:val="TextedebullesCar"/>
    <w:uiPriority w:val="99"/>
    <w:semiHidden/>
    <w:unhideWhenUsed/>
    <w:rsid w:val="00DE77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7CD"/>
    <w:rPr>
      <w:rFonts w:ascii="Tahoma" w:hAnsi="Tahoma" w:cs="Tahoma"/>
      <w:sz w:val="16"/>
      <w:szCs w:val="16"/>
    </w:rPr>
  </w:style>
  <w:style w:type="character" w:styleId="Textedelespacerserv">
    <w:name w:val="Placeholder Text"/>
    <w:basedOn w:val="Policepardfaut"/>
    <w:uiPriority w:val="99"/>
    <w:semiHidden/>
    <w:rsid w:val="003C53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7CD"/>
    <w:pPr>
      <w:ind w:left="720"/>
      <w:contextualSpacing/>
    </w:pPr>
  </w:style>
  <w:style w:type="paragraph" w:styleId="Textedebulles">
    <w:name w:val="Balloon Text"/>
    <w:basedOn w:val="Normal"/>
    <w:link w:val="TextedebullesCar"/>
    <w:uiPriority w:val="99"/>
    <w:semiHidden/>
    <w:unhideWhenUsed/>
    <w:rsid w:val="00DE77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7CD"/>
    <w:rPr>
      <w:rFonts w:ascii="Tahoma" w:hAnsi="Tahoma" w:cs="Tahoma"/>
      <w:sz w:val="16"/>
      <w:szCs w:val="16"/>
    </w:rPr>
  </w:style>
  <w:style w:type="character" w:styleId="Textedelespacerserv">
    <w:name w:val="Placeholder Text"/>
    <w:basedOn w:val="Policepardfaut"/>
    <w:uiPriority w:val="99"/>
    <w:semiHidden/>
    <w:rsid w:val="003C5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rectorat</cp:lastModifiedBy>
  <cp:revision>4</cp:revision>
  <dcterms:created xsi:type="dcterms:W3CDTF">2017-06-12T14:16:00Z</dcterms:created>
  <dcterms:modified xsi:type="dcterms:W3CDTF">2017-07-02T13:26:00Z</dcterms:modified>
</cp:coreProperties>
</file>